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334B" w14:textId="77777777" w:rsidR="00467E5F" w:rsidRPr="00C519A7" w:rsidRDefault="00672669" w:rsidP="0093710A">
      <w:pPr>
        <w:jc w:val="both"/>
        <w:outlineLvl w:val="0"/>
        <w:rPr>
          <w:rStyle w:val="hps"/>
          <w:rFonts w:ascii="Times" w:hAnsi="Times"/>
          <w:color w:val="FF0000"/>
          <w:sz w:val="28"/>
          <w:szCs w:val="28"/>
          <w:lang w:val="en-GB"/>
        </w:rPr>
      </w:pPr>
      <w:r w:rsidRPr="00C519A7">
        <w:rPr>
          <w:rFonts w:ascii="Times" w:hAnsi="Times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C519A7">
        <w:rPr>
          <w:rStyle w:val="hps"/>
          <w:rFonts w:ascii="Times" w:hAnsi="Times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C519A7" w:rsidRDefault="00CC479A" w:rsidP="009B4C5D">
      <w:pPr>
        <w:jc w:val="both"/>
        <w:rPr>
          <w:rFonts w:ascii="Times" w:hAnsi="Times"/>
          <w:i/>
          <w:szCs w:val="24"/>
          <w:lang w:val="en-GB"/>
        </w:rPr>
      </w:pPr>
    </w:p>
    <w:p w14:paraId="0BBAD89E" w14:textId="77777777" w:rsidR="00467E5F" w:rsidRPr="00C519A7" w:rsidRDefault="00467E5F" w:rsidP="009B4C5D">
      <w:pPr>
        <w:jc w:val="both"/>
        <w:rPr>
          <w:rFonts w:ascii="Times" w:hAnsi="Times"/>
          <w:i/>
          <w:szCs w:val="24"/>
          <w:lang w:val="en-GB"/>
        </w:rPr>
      </w:pPr>
      <w:r w:rsidRPr="00C519A7">
        <w:rPr>
          <w:rFonts w:ascii="Times" w:hAnsi="Times"/>
          <w:i/>
          <w:szCs w:val="24"/>
          <w:lang w:val="en-GB"/>
        </w:rPr>
        <w:t>nova-Institut GmbH (</w:t>
      </w:r>
      <w:hyperlink r:id="rId9" w:history="1">
        <w:r w:rsidRPr="00C519A7">
          <w:rPr>
            <w:rStyle w:val="Link"/>
            <w:rFonts w:ascii="Times" w:hAnsi="Times"/>
            <w:i/>
            <w:szCs w:val="24"/>
            <w:lang w:val="en-GB"/>
          </w:rPr>
          <w:t>www.nova-institute.eu</w:t>
        </w:r>
      </w:hyperlink>
      <w:r w:rsidRPr="00C519A7">
        <w:rPr>
          <w:rFonts w:ascii="Times" w:hAnsi="Times"/>
          <w:i/>
          <w:szCs w:val="24"/>
          <w:lang w:val="en-GB"/>
        </w:rPr>
        <w:t>)</w:t>
      </w:r>
    </w:p>
    <w:p w14:paraId="1A14E7DD" w14:textId="5A9059F0" w:rsidR="00467E5F" w:rsidRPr="00C519A7" w:rsidRDefault="00467E5F" w:rsidP="009B4C5D">
      <w:pPr>
        <w:jc w:val="both"/>
        <w:rPr>
          <w:rFonts w:ascii="Times" w:hAnsi="Times"/>
          <w:lang w:val="en-GB"/>
        </w:rPr>
      </w:pPr>
      <w:proofErr w:type="spellStart"/>
      <w:r w:rsidRPr="00C519A7">
        <w:rPr>
          <w:rFonts w:ascii="Times" w:hAnsi="Times"/>
          <w:i/>
          <w:szCs w:val="24"/>
          <w:lang w:val="en-GB"/>
        </w:rPr>
        <w:t>Hürth</w:t>
      </w:r>
      <w:proofErr w:type="spellEnd"/>
      <w:r w:rsidR="00C6470C" w:rsidRPr="00C519A7">
        <w:rPr>
          <w:rFonts w:ascii="Times" w:hAnsi="Times"/>
          <w:i/>
          <w:szCs w:val="24"/>
          <w:lang w:val="en-GB"/>
        </w:rPr>
        <w:t>,</w:t>
      </w:r>
      <w:r w:rsidR="0015005C" w:rsidRPr="0015005C">
        <w:rPr>
          <w:rFonts w:ascii="Times" w:hAnsi="Times"/>
          <w:i/>
          <w:szCs w:val="24"/>
          <w:lang w:val="en-GB"/>
        </w:rPr>
        <w:t xml:space="preserve"> </w:t>
      </w:r>
      <w:r w:rsidR="00D1578B">
        <w:rPr>
          <w:rFonts w:ascii="Times" w:hAnsi="Times"/>
          <w:i/>
          <w:szCs w:val="24"/>
          <w:lang w:val="en-GB"/>
        </w:rPr>
        <w:t>10</w:t>
      </w:r>
      <w:r w:rsidR="00F6399B">
        <w:rPr>
          <w:rFonts w:ascii="Times" w:hAnsi="Times"/>
          <w:i/>
          <w:szCs w:val="24"/>
          <w:lang w:val="en-GB"/>
        </w:rPr>
        <w:t xml:space="preserve"> </w:t>
      </w:r>
      <w:r w:rsidR="00506835">
        <w:rPr>
          <w:rFonts w:ascii="Times" w:hAnsi="Times"/>
          <w:i/>
          <w:szCs w:val="24"/>
          <w:lang w:val="en-GB"/>
        </w:rPr>
        <w:t>November</w:t>
      </w:r>
      <w:r w:rsidR="00536C61">
        <w:rPr>
          <w:rFonts w:ascii="Times" w:hAnsi="Times"/>
          <w:b/>
          <w:i/>
          <w:color w:val="FF0000"/>
          <w:szCs w:val="24"/>
          <w:lang w:val="en-GB"/>
        </w:rPr>
        <w:t xml:space="preserve"> </w:t>
      </w:r>
      <w:r w:rsidR="00FD54C3" w:rsidRPr="00C519A7">
        <w:rPr>
          <w:rFonts w:ascii="Times" w:hAnsi="Times"/>
          <w:i/>
          <w:szCs w:val="24"/>
          <w:lang w:val="en-GB"/>
        </w:rPr>
        <w:t>2015</w:t>
      </w:r>
    </w:p>
    <w:p w14:paraId="2F0FC12F" w14:textId="77777777" w:rsidR="00467E5F" w:rsidRPr="00C519A7" w:rsidRDefault="00467E5F" w:rsidP="009B4C5D">
      <w:pPr>
        <w:jc w:val="both"/>
        <w:rPr>
          <w:rFonts w:ascii="Times" w:hAnsi="Times"/>
          <w:b/>
          <w:color w:val="FF0000"/>
          <w:sz w:val="20"/>
          <w:lang w:val="en-GB"/>
        </w:rPr>
      </w:pPr>
    </w:p>
    <w:p w14:paraId="0A72EEE3" w14:textId="77777777" w:rsidR="00E73735" w:rsidRPr="00C519A7" w:rsidRDefault="00E73735" w:rsidP="009B4C5D">
      <w:pPr>
        <w:jc w:val="both"/>
        <w:rPr>
          <w:rFonts w:ascii="Times" w:hAnsi="Times"/>
          <w:b/>
          <w:color w:val="FF0000"/>
          <w:sz w:val="20"/>
          <w:lang w:val="en-GB"/>
        </w:rPr>
      </w:pPr>
    </w:p>
    <w:p w14:paraId="3C1BD26C" w14:textId="567AF678" w:rsidR="00506835" w:rsidRPr="00EB1FE2" w:rsidRDefault="006514CD" w:rsidP="00E52E89">
      <w:pPr>
        <w:jc w:val="both"/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</w:pPr>
      <w:bookmarkStart w:id="0" w:name="OLE_LINK33"/>
      <w:bookmarkStart w:id="1" w:name="OLE_LINK34"/>
      <w:bookmarkStart w:id="2" w:name="OLE_LINK41"/>
      <w:bookmarkStart w:id="3" w:name="OLE_LINK42"/>
      <w:bookmarkStart w:id="4" w:name="OLE_LINK59"/>
      <w:bookmarkStart w:id="5" w:name="OLE_LINK60"/>
      <w:r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Bio-based polymers: </w:t>
      </w:r>
      <w:bookmarkStart w:id="6" w:name="OLE_LINK35"/>
      <w:bookmarkStart w:id="7" w:name="OLE_LINK36"/>
      <w:bookmarkEnd w:id="0"/>
      <w:bookmarkEnd w:id="1"/>
      <w:r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Worldwide p</w:t>
      </w:r>
      <w:r w:rsidR="00C30D71" w:rsidRPr="000223D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roduction capacity will </w:t>
      </w:r>
      <w:r w:rsidR="0050683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triple from 5.7 million tonnes in 2014</w:t>
      </w:r>
      <w:r w:rsidR="00C30D71" w:rsidRPr="000223D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 to </w:t>
      </w:r>
      <w:r w:rsidR="0050683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nearly </w:t>
      </w:r>
      <w:r w:rsidR="00C30D71" w:rsidRPr="000223D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17 million tonnes in 2020</w:t>
      </w:r>
      <w:bookmarkEnd w:id="6"/>
      <w:bookmarkEnd w:id="7"/>
      <w:r w:rsidR="00C30D71" w:rsidRPr="000223D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. </w:t>
      </w:r>
      <w:bookmarkStart w:id="8" w:name="OLE_LINK37"/>
      <w:bookmarkStart w:id="9" w:name="OLE_LINK38"/>
      <w:r w:rsidR="00EB1FE2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The data</w:t>
      </w:r>
      <w:r w:rsidR="00506835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 show a 10% growth rate from 2012 to 2013 and even 11% from 2013 to 2014.</w:t>
      </w:r>
      <w:bookmarkEnd w:id="8"/>
      <w:bookmarkEnd w:id="9"/>
      <w:r w:rsidR="00056E2C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 xml:space="preserve"> However, </w:t>
      </w:r>
      <w:r w:rsidR="0071343C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growth rate is expected to decrease in 2015</w:t>
      </w:r>
      <w:r w:rsidR="00DC19A2">
        <w:rPr>
          <w:rFonts w:ascii="Arial" w:hAnsi="Arial" w:cs="Arial"/>
          <w:b/>
          <w:bCs/>
          <w:color w:val="1F497D" w:themeColor="text2"/>
          <w:sz w:val="32"/>
          <w:szCs w:val="32"/>
          <w:lang w:val="en-GB"/>
        </w:rPr>
        <w:t>. Consequence of the low oil price?</w:t>
      </w:r>
    </w:p>
    <w:p w14:paraId="757091B1" w14:textId="77777777" w:rsidR="00002015" w:rsidRDefault="00002015" w:rsidP="00506835">
      <w:pPr>
        <w:jc w:val="both"/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</w:pPr>
      <w:bookmarkStart w:id="10" w:name="OLE_LINK45"/>
      <w:bookmarkStart w:id="11" w:name="OLE_LINK46"/>
    </w:p>
    <w:p w14:paraId="6DC53E75" w14:textId="464E3010" w:rsidR="00CC14E1" w:rsidRDefault="00002015" w:rsidP="00CC14E1">
      <w:pPr>
        <w:jc w:val="both"/>
        <w:rPr>
          <w:lang w:val="en-GB" w:eastAsia="de-DE"/>
        </w:rPr>
      </w:pP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The new</w:t>
      </w:r>
      <w:r w:rsidR="00A937C0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third</w:t>
      </w: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edition </w:t>
      </w:r>
      <w:r w:rsidR="00D43BC3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of the market study </w:t>
      </w: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is available</w:t>
      </w:r>
      <w:r w:rsidR="00D44A4E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by now</w:t>
      </w: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. It includes </w:t>
      </w:r>
      <w:r w:rsidR="006618F4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consistent data from </w:t>
      </w:r>
      <w:r w:rsidR="00730072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the year </w:t>
      </w:r>
      <w:r w:rsidR="006618F4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2012 to </w:t>
      </w: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the latest data of 2014 and the recently published data from </w:t>
      </w:r>
      <w:bookmarkStart w:id="12" w:name="OLE_LINK16"/>
      <w:bookmarkStart w:id="13" w:name="OLE_LINK17"/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European </w:t>
      </w:r>
      <w:proofErr w:type="spellStart"/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Bioplastics</w:t>
      </w:r>
      <w:bookmarkEnd w:id="12"/>
      <w:bookmarkEnd w:id="13"/>
      <w:proofErr w:type="spellEnd"/>
      <w:r w:rsidR="00EB6035" w:rsidRPr="00EB60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, the association representing the</w:t>
      </w:r>
      <w:r w:rsidR="00A937C0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interests of Europe’s </w:t>
      </w:r>
      <w:proofErr w:type="spellStart"/>
      <w:r w:rsidR="00A937C0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bioplastics</w:t>
      </w:r>
      <w:proofErr w:type="spellEnd"/>
      <w:r w:rsidR="00EB6035" w:rsidRPr="00EB60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industry</w:t>
      </w:r>
      <w:r w:rsidRPr="0000201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.</w:t>
      </w:r>
      <w:r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</w:t>
      </w:r>
      <w:r w:rsidR="00870386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Bio-based </w:t>
      </w:r>
      <w:r w:rsid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drop-in PET and the new polymer</w:t>
      </w:r>
      <w:r w:rsidR="00870386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PHA show the fastest rates of market growth. </w:t>
      </w:r>
      <w:r w:rsidR="00506835" w:rsidRP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Europe looses considerable shares in total production to Asia.</w:t>
      </w:r>
      <w:r w:rsid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</w:t>
      </w:r>
      <w:r w:rsidR="00506835" w:rsidRP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The bio-based polymer turnover was about </w:t>
      </w:r>
      <w:bookmarkStart w:id="14" w:name="OLE_LINK8"/>
      <w:bookmarkStart w:id="15" w:name="OLE_LINK9"/>
      <w:r w:rsidR="00506835" w:rsidRP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€11 billion worldwide in 2014</w:t>
      </w:r>
      <w:r w:rsid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</w:t>
      </w:r>
      <w:bookmarkEnd w:id="14"/>
      <w:bookmarkEnd w:id="15"/>
      <w:r w:rsid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compared to €10 billion</w:t>
      </w:r>
      <w:r w:rsidR="00506835" w:rsidRP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in 201</w:t>
      </w:r>
      <w:r w:rsid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3</w:t>
      </w:r>
      <w:r w:rsidR="00506835" w:rsidRPr="0050683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. </w:t>
      </w:r>
      <w:r w:rsidR="008D21AF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The </w:t>
      </w:r>
      <w:r w:rsidR="00EB1FE2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third edition of the well-known </w:t>
      </w:r>
      <w:bookmarkStart w:id="16" w:name="OLE_LINK12"/>
      <w:bookmarkStart w:id="17" w:name="OLE_LINK13"/>
      <w:r w:rsidR="008D21AF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500 page-</w:t>
      </w:r>
      <w:r w:rsidR="00265949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market study </w:t>
      </w:r>
      <w:bookmarkEnd w:id="16"/>
      <w:bookmarkEnd w:id="17"/>
      <w:r w:rsidR="00265949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and trend r</w:t>
      </w:r>
      <w:r w:rsidR="009B4C5D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eports on </w:t>
      </w:r>
      <w:r w:rsidR="00265949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“</w:t>
      </w:r>
      <w:r w:rsidR="009B4C5D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Bio-based Building Blocks and Polymers in the World </w:t>
      </w:r>
      <w:bookmarkEnd w:id="2"/>
      <w:bookmarkEnd w:id="3"/>
      <w:r w:rsidR="00E52E89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–</w:t>
      </w:r>
      <w:r w:rsidR="009B4C5D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Capacities, Production and Applications: Status Quo and Trends Towards 2020</w:t>
      </w:r>
      <w:r w:rsidR="00265949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” </w:t>
      </w:r>
      <w:bookmarkStart w:id="18" w:name="OLE_LINK1"/>
      <w:bookmarkStart w:id="19" w:name="OLE_LINK2"/>
      <w:r w:rsidR="00265949" w:rsidRPr="000223D5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was published today</w:t>
      </w:r>
      <w:bookmarkStart w:id="20" w:name="OLE_LINK74"/>
      <w:bookmarkStart w:id="21" w:name="OLE_LINK75"/>
      <w:bookmarkEnd w:id="18"/>
      <w:bookmarkEnd w:id="19"/>
      <w:r w:rsidR="00EB1FE2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>.</w:t>
      </w:r>
      <w:r w:rsidR="00870386">
        <w:rPr>
          <w:rFonts w:ascii="Arial" w:eastAsia="Times New Roman" w:hAnsi="Arial" w:cs="Arial"/>
          <w:b/>
          <w:bCs/>
          <w:color w:val="4F81BD" w:themeColor="accent1"/>
          <w:kern w:val="32"/>
          <w:szCs w:val="24"/>
          <w:lang w:val="en-GB" w:eastAsia="de-DE"/>
        </w:rPr>
        <w:t xml:space="preserve"> </w:t>
      </w:r>
      <w:hyperlink r:id="rId10" w:history="1">
        <w:r w:rsidR="00E52E89" w:rsidRPr="0071343C">
          <w:rPr>
            <w:rStyle w:val="Link"/>
          </w:rPr>
          <w:t>http://bio-based.eu/markets</w:t>
        </w:r>
      </w:hyperlink>
    </w:p>
    <w:p w14:paraId="194A1FBD" w14:textId="77777777" w:rsidR="00E52E89" w:rsidRDefault="00E52E89" w:rsidP="00CC14E1">
      <w:pPr>
        <w:jc w:val="both"/>
        <w:rPr>
          <w:b/>
          <w:lang w:val="en-GB"/>
        </w:rPr>
      </w:pPr>
    </w:p>
    <w:bookmarkEnd w:id="4"/>
    <w:bookmarkEnd w:id="5"/>
    <w:p w14:paraId="51E16510" w14:textId="6ED7348F" w:rsidR="00A15A6E" w:rsidRDefault="006C2DA4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r w:rsidRPr="006C2DA4">
        <w:rPr>
          <w:rFonts w:ascii="Times New Roman" w:hAnsi="Times New Roman"/>
          <w:color w:val="000000"/>
          <w:lang w:val="en-US"/>
        </w:rPr>
        <w:t>Two years after the first market study was released, German</w:t>
      </w:r>
      <w:r w:rsidR="00EB1FE2">
        <w:rPr>
          <w:rFonts w:ascii="Times New Roman" w:hAnsi="Times New Roman"/>
          <w:color w:val="000000"/>
          <w:lang w:val="en-US"/>
        </w:rPr>
        <w:t xml:space="preserve">y’s </w:t>
      </w:r>
      <w:proofErr w:type="gramStart"/>
      <w:r w:rsidR="00EB1FE2">
        <w:rPr>
          <w:rFonts w:ascii="Times New Roman" w:hAnsi="Times New Roman"/>
          <w:color w:val="000000"/>
          <w:lang w:val="en-US"/>
        </w:rPr>
        <w:t>nova</w:t>
      </w:r>
      <w:proofErr w:type="gramEnd"/>
      <w:r w:rsidR="00EB1FE2">
        <w:rPr>
          <w:rFonts w:ascii="Times New Roman" w:hAnsi="Times New Roman"/>
          <w:color w:val="000000"/>
          <w:lang w:val="en-US"/>
        </w:rPr>
        <w:t>-Institute publishe</w:t>
      </w:r>
      <w:r w:rsidR="00D1578B">
        <w:rPr>
          <w:rFonts w:ascii="Times New Roman" w:hAnsi="Times New Roman"/>
          <w:color w:val="000000"/>
          <w:lang w:val="en-US"/>
        </w:rPr>
        <w:t>s</w:t>
      </w:r>
      <w:r w:rsidRPr="006C2DA4">
        <w:rPr>
          <w:rFonts w:ascii="Times New Roman" w:hAnsi="Times New Roman"/>
          <w:color w:val="000000"/>
          <w:lang w:val="en-US"/>
        </w:rPr>
        <w:t xml:space="preserve"> </w:t>
      </w:r>
      <w:r w:rsidR="00EB1FE2">
        <w:rPr>
          <w:rFonts w:ascii="Times New Roman" w:hAnsi="Times New Roman"/>
          <w:color w:val="000000"/>
          <w:lang w:val="en-US"/>
        </w:rPr>
        <w:t>the third edition of</w:t>
      </w:r>
      <w:r w:rsidRPr="006C2DA4">
        <w:rPr>
          <w:rFonts w:ascii="Times New Roman" w:hAnsi="Times New Roman"/>
          <w:color w:val="000000"/>
          <w:lang w:val="en-US"/>
        </w:rPr>
        <w:t xml:space="preserve"> the most comprehensive market study of bio-based polymers ever made</w:t>
      </w:r>
      <w:r w:rsidR="00EB1FE2">
        <w:rPr>
          <w:rFonts w:ascii="Times New Roman" w:hAnsi="Times New Roman"/>
          <w:color w:val="000000"/>
          <w:lang w:val="en-US"/>
        </w:rPr>
        <w:t xml:space="preserve"> in November 2015. This update </w:t>
      </w:r>
      <w:r w:rsidRPr="006C2DA4">
        <w:rPr>
          <w:rFonts w:ascii="Times New Roman" w:hAnsi="Times New Roman"/>
          <w:color w:val="000000"/>
          <w:lang w:val="en-US"/>
        </w:rPr>
        <w:t>expand</w:t>
      </w:r>
      <w:r w:rsidR="00056E2C">
        <w:rPr>
          <w:rFonts w:ascii="Times New Roman" w:hAnsi="Times New Roman"/>
          <w:color w:val="000000"/>
          <w:lang w:val="en-US"/>
        </w:rPr>
        <w:t>s</w:t>
      </w:r>
      <w:r w:rsidRPr="006C2DA4">
        <w:rPr>
          <w:rFonts w:ascii="Times New Roman" w:hAnsi="Times New Roman"/>
          <w:color w:val="000000"/>
          <w:lang w:val="en-US"/>
        </w:rPr>
        <w:t xml:space="preserve"> the market study’s range, including bio-based building blocks as precursor of bio-based polymers.</w:t>
      </w:r>
      <w:r w:rsidR="00A15A6E">
        <w:rPr>
          <w:rFonts w:ascii="Times New Roman" w:hAnsi="Times New Roman"/>
          <w:color w:val="000000"/>
          <w:lang w:val="en-US"/>
        </w:rPr>
        <w:t xml:space="preserve"> </w:t>
      </w:r>
      <w:r w:rsidRPr="006C2DA4">
        <w:rPr>
          <w:rFonts w:ascii="Times New Roman" w:hAnsi="Times New Roman"/>
          <w:color w:val="000000"/>
          <w:lang w:val="en-US"/>
        </w:rPr>
        <w:t xml:space="preserve">The </w:t>
      </w:r>
      <w:proofErr w:type="gramStart"/>
      <w:r w:rsidRPr="006C2DA4">
        <w:rPr>
          <w:rFonts w:ascii="Times New Roman" w:hAnsi="Times New Roman"/>
          <w:color w:val="000000"/>
          <w:lang w:val="en-US"/>
        </w:rPr>
        <w:t>nova</w:t>
      </w:r>
      <w:proofErr w:type="gramEnd"/>
      <w:r w:rsidRPr="006C2DA4">
        <w:rPr>
          <w:rFonts w:ascii="Times New Roman" w:hAnsi="Times New Roman"/>
          <w:color w:val="000000"/>
          <w:lang w:val="en-US"/>
        </w:rPr>
        <w:t xml:space="preserve">-Institute carried out this study in collaboration with renowned international experts from the field of bio-based building blocks and polymers. </w:t>
      </w:r>
      <w:bookmarkStart w:id="22" w:name="OLE_LINK444"/>
      <w:bookmarkStart w:id="23" w:name="OLE_LINK445"/>
      <w:r w:rsidRPr="006C2DA4">
        <w:rPr>
          <w:rFonts w:ascii="Times New Roman" w:hAnsi="Times New Roman"/>
          <w:color w:val="000000"/>
          <w:lang w:val="en-US"/>
        </w:rPr>
        <w:t xml:space="preserve">The study investigates every kind of bio-based polymer and, for the </w:t>
      </w:r>
      <w:r w:rsidR="00D02927">
        <w:rPr>
          <w:rFonts w:ascii="Times New Roman" w:hAnsi="Times New Roman"/>
          <w:color w:val="000000"/>
          <w:lang w:val="en-US"/>
        </w:rPr>
        <w:t>second</w:t>
      </w:r>
      <w:r w:rsidR="00D02927" w:rsidRPr="006C2DA4">
        <w:rPr>
          <w:rFonts w:ascii="Times New Roman" w:hAnsi="Times New Roman"/>
          <w:color w:val="000000"/>
          <w:lang w:val="en-US"/>
        </w:rPr>
        <w:t xml:space="preserve"> </w:t>
      </w:r>
      <w:r w:rsidRPr="006C2DA4">
        <w:rPr>
          <w:rFonts w:ascii="Times New Roman" w:hAnsi="Times New Roman"/>
          <w:color w:val="000000"/>
          <w:lang w:val="en-US"/>
        </w:rPr>
        <w:t>time, several major building blocks produced around the world</w:t>
      </w:r>
      <w:r w:rsidR="00EB1FE2">
        <w:rPr>
          <w:rFonts w:ascii="Times New Roman" w:hAnsi="Times New Roman"/>
          <w:color w:val="000000"/>
          <w:lang w:val="en-US"/>
        </w:rPr>
        <w:t>.</w:t>
      </w:r>
    </w:p>
    <w:p w14:paraId="3519EA83" w14:textId="056797B3" w:rsidR="002418AB" w:rsidRDefault="002418AB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</w:t>
      </w:r>
      <w:r w:rsidRPr="002418AB">
        <w:rPr>
          <w:rFonts w:ascii="Times New Roman" w:hAnsi="Times New Roman"/>
          <w:color w:val="000000"/>
          <w:lang w:val="en-US"/>
        </w:rPr>
        <w:t xml:space="preserve">n 2015, for the second time, the association “European </w:t>
      </w:r>
      <w:proofErr w:type="spellStart"/>
      <w:r w:rsidRPr="002418AB">
        <w:rPr>
          <w:rFonts w:ascii="Times New Roman" w:hAnsi="Times New Roman"/>
          <w:color w:val="000000"/>
          <w:lang w:val="en-US"/>
        </w:rPr>
        <w:t>Bioplastics</w:t>
      </w:r>
      <w:proofErr w:type="spellEnd"/>
      <w:r w:rsidRPr="002418AB">
        <w:rPr>
          <w:rFonts w:ascii="Times New Roman" w:hAnsi="Times New Roman"/>
          <w:color w:val="000000"/>
          <w:lang w:val="en-US"/>
        </w:rPr>
        <w:t xml:space="preserve">” used </w:t>
      </w:r>
      <w:proofErr w:type="gramStart"/>
      <w:r w:rsidRPr="002418AB">
        <w:rPr>
          <w:rFonts w:ascii="Times New Roman" w:hAnsi="Times New Roman"/>
          <w:color w:val="000000"/>
          <w:lang w:val="en-US"/>
        </w:rPr>
        <w:t>nova</w:t>
      </w:r>
      <w:proofErr w:type="gramEnd"/>
      <w:r w:rsidRPr="002418AB">
        <w:rPr>
          <w:rFonts w:ascii="Times New Roman" w:hAnsi="Times New Roman"/>
          <w:color w:val="000000"/>
          <w:lang w:val="en-US"/>
        </w:rPr>
        <w:t xml:space="preserve">-Institute’s market study as its main data source for their recently published market data. For the European </w:t>
      </w:r>
      <w:proofErr w:type="spellStart"/>
      <w:r w:rsidRPr="002418AB">
        <w:rPr>
          <w:rFonts w:ascii="Times New Roman" w:hAnsi="Times New Roman"/>
          <w:color w:val="000000"/>
          <w:lang w:val="en-US"/>
        </w:rPr>
        <w:t>Bioplastics’s</w:t>
      </w:r>
      <w:proofErr w:type="spellEnd"/>
      <w:r w:rsidRPr="002418AB">
        <w:rPr>
          <w:rFonts w:ascii="Times New Roman" w:hAnsi="Times New Roman"/>
          <w:color w:val="000000"/>
          <w:lang w:val="en-US"/>
        </w:rPr>
        <w:t xml:space="preserve"> selection of bio-based polymers, which differs from nova-Institute’s selection, bio-based polymers production capacities are projected to grow by more than 400% by 2019</w:t>
      </w:r>
      <w:r w:rsidR="004D7B71">
        <w:rPr>
          <w:rStyle w:val="Funotenzeichen"/>
          <w:rFonts w:ascii="Times New Roman" w:hAnsi="Times New Roman"/>
          <w:color w:val="000000"/>
          <w:lang w:val="en-US"/>
        </w:rPr>
        <w:footnoteReference w:id="1"/>
      </w:r>
      <w:r w:rsidRPr="002418AB">
        <w:rPr>
          <w:rFonts w:ascii="Times New Roman" w:hAnsi="Times New Roman"/>
          <w:color w:val="000000"/>
          <w:lang w:val="en-US"/>
        </w:rPr>
        <w:t>.</w:t>
      </w:r>
    </w:p>
    <w:p w14:paraId="4C9B8D15" w14:textId="77777777" w:rsidR="00A03FFB" w:rsidRDefault="00A03FFB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1E882E04" w14:textId="044607B1" w:rsidR="004D7B71" w:rsidRDefault="00A03FFB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bookmarkStart w:id="24" w:name="OLE_LINK18"/>
      <w:bookmarkStart w:id="25" w:name="OLE_LINK19"/>
      <w:r>
        <w:rPr>
          <w:rFonts w:ascii="Times New Roman" w:hAnsi="Times New Roman"/>
          <w:color w:val="000000"/>
          <w:lang w:val="en-US"/>
        </w:rPr>
        <w:t>The following table gives an overview on the covered bio-based polymers and the producing companies with their location</w:t>
      </w:r>
      <w:r w:rsidR="0071343C">
        <w:rPr>
          <w:rFonts w:ascii="Times New Roman" w:hAnsi="Times New Roman"/>
          <w:color w:val="000000"/>
          <w:lang w:val="en-US"/>
        </w:rPr>
        <w:t>s</w:t>
      </w:r>
      <w:r>
        <w:rPr>
          <w:rFonts w:ascii="Times New Roman" w:hAnsi="Times New Roman"/>
          <w:color w:val="000000"/>
          <w:lang w:val="en-US"/>
        </w:rPr>
        <w:t xml:space="preserve"> and production capacities from 2012 to 2014 </w:t>
      </w:r>
      <w:bookmarkStart w:id="26" w:name="OLE_LINK14"/>
      <w:bookmarkStart w:id="27" w:name="OLE_LINK15"/>
      <w:r w:rsidR="00644B26">
        <w:rPr>
          <w:rFonts w:ascii="Times New Roman" w:hAnsi="Times New Roman"/>
          <w:color w:val="000000"/>
          <w:lang w:val="en-US"/>
        </w:rPr>
        <w:t>–</w:t>
      </w:r>
      <w:bookmarkEnd w:id="26"/>
      <w:bookmarkEnd w:id="27"/>
      <w:r w:rsidR="0071755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with corresponding </w:t>
      </w:r>
      <w:r w:rsidR="00717558">
        <w:rPr>
          <w:rFonts w:ascii="Times New Roman" w:hAnsi="Times New Roman"/>
          <w:color w:val="000000"/>
          <w:lang w:val="en-US"/>
        </w:rPr>
        <w:t xml:space="preserve">yearly </w:t>
      </w:r>
      <w:r>
        <w:rPr>
          <w:rFonts w:ascii="Times New Roman" w:hAnsi="Times New Roman"/>
          <w:color w:val="000000"/>
          <w:lang w:val="en-US"/>
        </w:rPr>
        <w:t xml:space="preserve">growth rates. In 2013, most of the polymers’ production capacities increased and contributed to the observed 10% compound annual growth rate (CAGR) from 2012 to 2013. Polyamides (PA), polyethylene terephthalate (PET) and </w:t>
      </w:r>
      <w:proofErr w:type="spellStart"/>
      <w:r>
        <w:rPr>
          <w:rFonts w:ascii="Times New Roman" w:hAnsi="Times New Roman"/>
          <w:color w:val="000000"/>
          <w:lang w:val="en-US"/>
        </w:rPr>
        <w:t>polytrimethylene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terephthalate (PTT) show</w:t>
      </w:r>
      <w:r w:rsidR="00A04691">
        <w:rPr>
          <w:rFonts w:ascii="Times New Roman" w:hAnsi="Times New Roman"/>
          <w:color w:val="000000"/>
          <w:lang w:val="en-US"/>
        </w:rPr>
        <w:t>ed</w:t>
      </w:r>
      <w:r>
        <w:rPr>
          <w:rFonts w:ascii="Times New Roman" w:hAnsi="Times New Roman"/>
          <w:color w:val="000000"/>
          <w:lang w:val="en-US"/>
        </w:rPr>
        <w:t xml:space="preserve">, with CAGR around 30%, the highest CAGR. In 2014, only few </w:t>
      </w:r>
      <w:r>
        <w:rPr>
          <w:rFonts w:ascii="Times New Roman" w:hAnsi="Times New Roman"/>
          <w:color w:val="000000"/>
          <w:lang w:val="en-US"/>
        </w:rPr>
        <w:lastRenderedPageBreak/>
        <w:t>polymers contributed to the 11% CAGR from 2013 to 2014</w:t>
      </w:r>
      <w:r w:rsidR="00CD17F6">
        <w:rPr>
          <w:rFonts w:ascii="Times New Roman" w:hAnsi="Times New Roman"/>
          <w:color w:val="000000"/>
          <w:lang w:val="en-US"/>
        </w:rPr>
        <w:t xml:space="preserve">. </w:t>
      </w:r>
      <w:r w:rsidR="0071343C">
        <w:rPr>
          <w:rFonts w:ascii="Times New Roman" w:hAnsi="Times New Roman"/>
          <w:color w:val="000000"/>
          <w:lang w:val="en-US"/>
        </w:rPr>
        <w:t xml:space="preserve">Only epoxies and </w:t>
      </w:r>
      <w:bookmarkStart w:id="28" w:name="OLE_LINK3"/>
      <w:bookmarkStart w:id="29" w:name="OLE_LINK4"/>
      <w:proofErr w:type="gramStart"/>
      <w:r w:rsidR="0071343C">
        <w:rPr>
          <w:rFonts w:ascii="Times New Roman" w:hAnsi="Times New Roman"/>
          <w:color w:val="000000"/>
          <w:lang w:val="en-US"/>
        </w:rPr>
        <w:t>poly(</w:t>
      </w:r>
      <w:proofErr w:type="gramEnd"/>
      <w:r w:rsidR="0071343C">
        <w:rPr>
          <w:rFonts w:ascii="Times New Roman" w:hAnsi="Times New Roman"/>
          <w:color w:val="000000"/>
          <w:lang w:val="en-US"/>
        </w:rPr>
        <w:t xml:space="preserve">butylene </w:t>
      </w:r>
      <w:proofErr w:type="spellStart"/>
      <w:r w:rsidR="0071343C">
        <w:rPr>
          <w:rFonts w:ascii="Times New Roman" w:hAnsi="Times New Roman"/>
          <w:color w:val="000000"/>
          <w:lang w:val="en-US"/>
        </w:rPr>
        <w:t>adipate</w:t>
      </w:r>
      <w:proofErr w:type="spellEnd"/>
      <w:r w:rsidR="0071343C">
        <w:rPr>
          <w:rFonts w:ascii="Times New Roman" w:hAnsi="Times New Roman"/>
          <w:color w:val="000000"/>
          <w:lang w:val="en-US"/>
        </w:rPr>
        <w:t>-co-terephthalate)</w:t>
      </w:r>
      <w:bookmarkEnd w:id="28"/>
      <w:bookmarkEnd w:id="29"/>
      <w:r w:rsidR="0071343C">
        <w:rPr>
          <w:rFonts w:ascii="Times New Roman" w:hAnsi="Times New Roman"/>
          <w:color w:val="000000"/>
          <w:lang w:val="en-US"/>
        </w:rPr>
        <w:t xml:space="preserve"> (PBAT) enjoy a strong market growth. </w:t>
      </w:r>
      <w:proofErr w:type="spellStart"/>
      <w:r w:rsidR="0071343C">
        <w:rPr>
          <w:rFonts w:ascii="Times New Roman" w:hAnsi="Times New Roman"/>
          <w:color w:val="000000"/>
          <w:lang w:val="en-US"/>
        </w:rPr>
        <w:t>Epichlor</w:t>
      </w:r>
      <w:r w:rsidR="004D7B71">
        <w:rPr>
          <w:rFonts w:ascii="Times New Roman" w:hAnsi="Times New Roman"/>
          <w:color w:val="000000"/>
          <w:lang w:val="en-US"/>
        </w:rPr>
        <w:t>o</w:t>
      </w:r>
      <w:r w:rsidR="0071343C">
        <w:rPr>
          <w:rFonts w:ascii="Times New Roman" w:hAnsi="Times New Roman"/>
          <w:color w:val="000000"/>
          <w:lang w:val="en-US"/>
        </w:rPr>
        <w:t>hydrin</w:t>
      </w:r>
      <w:proofErr w:type="spellEnd"/>
      <w:r w:rsidR="0071343C">
        <w:rPr>
          <w:rFonts w:ascii="Times New Roman" w:hAnsi="Times New Roman"/>
          <w:color w:val="000000"/>
          <w:lang w:val="en-US"/>
        </w:rPr>
        <w:t xml:space="preserve">, whose production capacity increased, is precursor of epoxies and is produced from bio-based glycerin, a by-product from the biodiesel production. However, </w:t>
      </w:r>
      <w:r w:rsidR="00D1578B">
        <w:rPr>
          <w:rFonts w:ascii="Times New Roman" w:hAnsi="Times New Roman"/>
          <w:color w:val="000000"/>
          <w:lang w:val="en-US"/>
        </w:rPr>
        <w:t xml:space="preserve">the </w:t>
      </w:r>
      <w:r w:rsidR="0071343C">
        <w:rPr>
          <w:rFonts w:ascii="Times New Roman" w:hAnsi="Times New Roman"/>
          <w:color w:val="000000"/>
          <w:lang w:val="en-US"/>
        </w:rPr>
        <w:t xml:space="preserve">overall growth rate is expected to decrease in 2015. </w:t>
      </w:r>
      <w:r w:rsidR="00CD17F6">
        <w:rPr>
          <w:rFonts w:ascii="Times New Roman" w:hAnsi="Times New Roman"/>
          <w:color w:val="000000"/>
          <w:lang w:val="en-US"/>
        </w:rPr>
        <w:t>Th</w:t>
      </w:r>
      <w:r w:rsidR="0071343C">
        <w:rPr>
          <w:rFonts w:ascii="Times New Roman" w:hAnsi="Times New Roman"/>
          <w:color w:val="000000"/>
          <w:lang w:val="en-US"/>
        </w:rPr>
        <w:t>is</w:t>
      </w:r>
      <w:r w:rsidR="00CD17F6">
        <w:rPr>
          <w:rFonts w:ascii="Times New Roman" w:hAnsi="Times New Roman"/>
          <w:color w:val="000000"/>
          <w:lang w:val="en-US"/>
        </w:rPr>
        <w:t xml:space="preserve"> can certainly be explained by the low oil price and the low poli</w:t>
      </w:r>
      <w:r w:rsidR="006174F7">
        <w:rPr>
          <w:rFonts w:ascii="Times New Roman" w:hAnsi="Times New Roman"/>
          <w:color w:val="000000"/>
          <w:lang w:val="en-US"/>
        </w:rPr>
        <w:t>tical support for bio-based polymers</w:t>
      </w:r>
      <w:r>
        <w:rPr>
          <w:rFonts w:ascii="Times New Roman" w:hAnsi="Times New Roman"/>
          <w:color w:val="000000"/>
          <w:lang w:val="en-US"/>
        </w:rPr>
        <w:t>.</w:t>
      </w:r>
    </w:p>
    <w:p w14:paraId="656CB4E9" w14:textId="4028F3DD" w:rsidR="00A03FFB" w:rsidRDefault="00A03FFB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bookmarkEnd w:id="24"/>
    <w:bookmarkEnd w:id="25"/>
    <w:p w14:paraId="6CC0ACB6" w14:textId="52132EDB" w:rsidR="00F24FFB" w:rsidRDefault="00F24FFB" w:rsidP="006C2DA4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lang w:eastAsia="de-DE"/>
        </w:rPr>
        <w:drawing>
          <wp:inline distT="0" distB="0" distL="0" distR="0" wp14:anchorId="6C388BD9" wp14:editId="4D766526">
            <wp:extent cx="5757545" cy="3810000"/>
            <wp:effectExtent l="0" t="0" r="8255" b="0"/>
            <wp:docPr id="1" name="Bild 1" descr="../../../Graphs/LAYOUT/15-11%203rd%20leaflet/PNGs/15-10-22-B-b-polymers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Graphs/LAYOUT/15-11%203rd%20leaflet/PNGs/15-10-22-B-b-polymers-tab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0B89" w14:textId="77777777" w:rsidR="007F6C1A" w:rsidRDefault="007F6C1A" w:rsidP="006C2DA4">
      <w:pPr>
        <w:widowControl w:val="0"/>
        <w:autoSpaceDE w:val="0"/>
        <w:autoSpaceDN w:val="0"/>
        <w:adjustRightInd w:val="0"/>
        <w:spacing w:after="160" w:line="276" w:lineRule="auto"/>
        <w:jc w:val="both"/>
        <w:textAlignment w:val="center"/>
        <w:rPr>
          <w:rFonts w:ascii="Times New Roman" w:hAnsi="Times New Roman"/>
          <w:bCs/>
          <w:lang w:val="en-GB"/>
        </w:rPr>
      </w:pPr>
      <w:bookmarkStart w:id="30" w:name="OLE_LINK47"/>
      <w:bookmarkStart w:id="31" w:name="OLE_LINK48"/>
      <w:bookmarkEnd w:id="10"/>
      <w:bookmarkEnd w:id="11"/>
    </w:p>
    <w:p w14:paraId="318F129A" w14:textId="7E202CC3" w:rsidR="00A15A6E" w:rsidRDefault="006C2DA4" w:rsidP="00AE5C3D">
      <w:pPr>
        <w:widowControl w:val="0"/>
        <w:autoSpaceDE w:val="0"/>
        <w:autoSpaceDN w:val="0"/>
        <w:adjustRightInd w:val="0"/>
        <w:spacing w:after="160" w:line="276" w:lineRule="auto"/>
        <w:jc w:val="both"/>
        <w:textAlignment w:val="center"/>
        <w:rPr>
          <w:rFonts w:ascii="Times New Roman" w:hAnsi="Times New Roman"/>
          <w:bCs/>
          <w:lang w:val="en-GB"/>
        </w:rPr>
      </w:pPr>
      <w:r w:rsidRPr="006C2DA4">
        <w:rPr>
          <w:rFonts w:ascii="Times New Roman" w:hAnsi="Times New Roman"/>
          <w:bCs/>
          <w:lang w:val="en-GB"/>
        </w:rPr>
        <w:t>The production capacity for bio-based polymers boasts very impressive development and annual growth rates, with a compound ann</w:t>
      </w:r>
      <w:r w:rsidR="00D01C22">
        <w:rPr>
          <w:rFonts w:ascii="Times New Roman" w:hAnsi="Times New Roman"/>
          <w:bCs/>
          <w:lang w:val="en-GB"/>
        </w:rPr>
        <w:t>ual growth rate (CAGR) of</w:t>
      </w:r>
      <w:r w:rsidRPr="006C2DA4">
        <w:rPr>
          <w:rFonts w:ascii="Times New Roman" w:hAnsi="Times New Roman"/>
          <w:bCs/>
          <w:lang w:val="en-GB"/>
        </w:rPr>
        <w:t xml:space="preserve"> </w:t>
      </w:r>
      <w:r w:rsidR="0091019C">
        <w:rPr>
          <w:rFonts w:ascii="Times New Roman" w:hAnsi="Times New Roman"/>
          <w:bCs/>
          <w:lang w:val="en-GB"/>
        </w:rPr>
        <w:t>about 10</w:t>
      </w:r>
      <w:r w:rsidRPr="006C2DA4">
        <w:rPr>
          <w:rFonts w:ascii="Times New Roman" w:hAnsi="Times New Roman"/>
          <w:bCs/>
          <w:lang w:val="en-GB"/>
        </w:rPr>
        <w:t>% in comparison to petrochemical polymers, which have a CAGR between 3-4</w:t>
      </w:r>
      <w:r w:rsidR="00D01C22">
        <w:rPr>
          <w:rFonts w:ascii="Times New Roman" w:hAnsi="Times New Roman"/>
          <w:bCs/>
          <w:lang w:val="en-GB"/>
        </w:rPr>
        <w:t>%. The 5.7</w:t>
      </w:r>
      <w:r w:rsidRPr="006C2DA4">
        <w:rPr>
          <w:rFonts w:ascii="Times New Roman" w:hAnsi="Times New Roman"/>
          <w:bCs/>
          <w:lang w:val="en-GB"/>
        </w:rPr>
        <w:t xml:space="preserve"> million tonnes bio-based polymer production capacity represent </w:t>
      </w:r>
      <w:r w:rsidR="00D01C22">
        <w:rPr>
          <w:rFonts w:ascii="Times New Roman" w:hAnsi="Times New Roman"/>
          <w:bCs/>
          <w:lang w:val="en-GB"/>
        </w:rPr>
        <w:t xml:space="preserve">approximately </w:t>
      </w:r>
      <w:r w:rsidRPr="006C2DA4">
        <w:rPr>
          <w:rFonts w:ascii="Times New Roman" w:hAnsi="Times New Roman"/>
          <w:bCs/>
          <w:lang w:val="en-GB"/>
        </w:rPr>
        <w:t>a 2% share of overall structural polymer production at 256 million tonnes in 2013 and a bio-bas</w:t>
      </w:r>
      <w:r w:rsidR="00D01C22">
        <w:rPr>
          <w:rFonts w:ascii="Times New Roman" w:hAnsi="Times New Roman"/>
          <w:bCs/>
          <w:lang w:val="en-GB"/>
        </w:rPr>
        <w:t>ed polymer turnover of about €11</w:t>
      </w:r>
      <w:r w:rsidRPr="006C2DA4">
        <w:rPr>
          <w:rFonts w:ascii="Times New Roman" w:hAnsi="Times New Roman"/>
          <w:bCs/>
          <w:lang w:val="en-GB"/>
        </w:rPr>
        <w:t xml:space="preserve"> billion </w:t>
      </w:r>
      <w:r w:rsidR="004D7B71">
        <w:rPr>
          <w:rFonts w:ascii="Times New Roman" w:hAnsi="Times New Roman"/>
          <w:bCs/>
          <w:lang w:val="en-GB"/>
        </w:rPr>
        <w:t xml:space="preserve">in 2014 </w:t>
      </w:r>
      <w:r w:rsidRPr="006C2DA4">
        <w:rPr>
          <w:rFonts w:ascii="Times New Roman" w:hAnsi="Times New Roman"/>
          <w:bCs/>
          <w:lang w:val="en-GB"/>
        </w:rPr>
        <w:t>(5</w:t>
      </w:r>
      <w:r w:rsidR="00D01C22">
        <w:rPr>
          <w:rFonts w:ascii="Times New Roman" w:hAnsi="Times New Roman"/>
          <w:bCs/>
          <w:lang w:val="en-GB"/>
        </w:rPr>
        <w:t>.7</w:t>
      </w:r>
      <w:r w:rsidRPr="006C2DA4">
        <w:rPr>
          <w:rFonts w:ascii="Times New Roman" w:hAnsi="Times New Roman"/>
          <w:bCs/>
          <w:lang w:val="en-GB"/>
        </w:rPr>
        <w:t xml:space="preserve"> Mio. t (production capacity) x </w:t>
      </w:r>
      <w:r w:rsidR="00D01C22" w:rsidRPr="006C2DA4">
        <w:rPr>
          <w:rFonts w:ascii="Times New Roman" w:hAnsi="Times New Roman"/>
          <w:bCs/>
          <w:lang w:val="en-GB"/>
        </w:rPr>
        <w:t>€</w:t>
      </w:r>
      <w:r w:rsidRPr="006C2DA4">
        <w:rPr>
          <w:rFonts w:ascii="Times New Roman" w:hAnsi="Times New Roman"/>
          <w:bCs/>
          <w:lang w:val="en-GB"/>
        </w:rPr>
        <w:t>2.50/kg (estimated average bio-based polymer price)</w:t>
      </w:r>
      <w:r w:rsidR="00C30D71">
        <w:rPr>
          <w:rFonts w:ascii="Times New Roman" w:hAnsi="Times New Roman"/>
          <w:bCs/>
          <w:lang w:val="en-GB"/>
        </w:rPr>
        <w:t xml:space="preserve"> x 0,8 (</w:t>
      </w:r>
      <w:bookmarkStart w:id="32" w:name="OLE_LINK66"/>
      <w:bookmarkStart w:id="33" w:name="OLE_LINK67"/>
      <w:r w:rsidR="00C30D71">
        <w:rPr>
          <w:rFonts w:ascii="Times New Roman" w:hAnsi="Times New Roman"/>
          <w:bCs/>
          <w:lang w:val="en-GB"/>
        </w:rPr>
        <w:t>capacity utilization</w:t>
      </w:r>
      <w:bookmarkEnd w:id="32"/>
      <w:bookmarkEnd w:id="33"/>
      <w:r w:rsidR="002341EC">
        <w:rPr>
          <w:rFonts w:ascii="Times New Roman" w:hAnsi="Times New Roman"/>
          <w:bCs/>
          <w:lang w:val="en-GB"/>
        </w:rPr>
        <w:t xml:space="preserve"> rate</w:t>
      </w:r>
      <w:r w:rsidR="00C30D71">
        <w:rPr>
          <w:rFonts w:ascii="Times New Roman" w:hAnsi="Times New Roman"/>
          <w:bCs/>
          <w:lang w:val="en-GB"/>
        </w:rPr>
        <w:t>)).</w:t>
      </w:r>
      <w:r w:rsidR="00FA5C37">
        <w:rPr>
          <w:rFonts w:ascii="Times New Roman" w:hAnsi="Times New Roman"/>
          <w:bCs/>
          <w:lang w:val="en-GB"/>
        </w:rPr>
        <w:t xml:space="preserve"> </w:t>
      </w:r>
      <w:r w:rsidR="00FA5C37" w:rsidRPr="006C2DA4">
        <w:rPr>
          <w:rFonts w:ascii="Times New Roman" w:hAnsi="Times New Roman"/>
          <w:lang w:val="en-US"/>
        </w:rPr>
        <w:t xml:space="preserve">With an expected total polymer production of about 400 million </w:t>
      </w:r>
      <w:proofErr w:type="spellStart"/>
      <w:r w:rsidR="00FA5C37" w:rsidRPr="006C2DA4">
        <w:rPr>
          <w:rFonts w:ascii="Times New Roman" w:hAnsi="Times New Roman"/>
          <w:lang w:val="en-US"/>
        </w:rPr>
        <w:t>tonnes</w:t>
      </w:r>
      <w:proofErr w:type="spellEnd"/>
      <w:r w:rsidR="00FA5C37" w:rsidRPr="006C2DA4">
        <w:rPr>
          <w:rFonts w:ascii="Times New Roman" w:hAnsi="Times New Roman"/>
          <w:lang w:val="en-US"/>
        </w:rPr>
        <w:t xml:space="preserve"> in 2020, the bio-based share should increase from 2% in 2013 to more than 4% in 2020, meaning that bio-based production capacity will grow faster than overall production.</w:t>
      </w:r>
    </w:p>
    <w:p w14:paraId="43F9AC35" w14:textId="503E99A2" w:rsidR="00A15A6E" w:rsidRDefault="00F24FFB" w:rsidP="00A15A6E">
      <w:pPr>
        <w:widowControl w:val="0"/>
        <w:autoSpaceDE w:val="0"/>
        <w:autoSpaceDN w:val="0"/>
        <w:adjustRightInd w:val="0"/>
        <w:spacing w:after="160"/>
        <w:jc w:val="both"/>
        <w:textAlignment w:val="center"/>
        <w:rPr>
          <w:rFonts w:ascii="Times New Roman" w:hAnsi="Times New Roman"/>
          <w:bCs/>
          <w:lang w:val="en-GB"/>
        </w:rPr>
      </w:pPr>
      <w:bookmarkStart w:id="34" w:name="_GoBack"/>
      <w:bookmarkEnd w:id="30"/>
      <w:bookmarkEnd w:id="31"/>
      <w:r>
        <w:rPr>
          <w:rFonts w:ascii="Times New Roman" w:hAnsi="Times New Roman"/>
          <w:bCs/>
          <w:noProof/>
          <w:lang w:eastAsia="de-DE"/>
        </w:rPr>
        <w:lastRenderedPageBreak/>
        <w:drawing>
          <wp:inline distT="0" distB="0" distL="0" distR="0" wp14:anchorId="7AF46882" wp14:editId="2C82A989">
            <wp:extent cx="5757545" cy="4318000"/>
            <wp:effectExtent l="0" t="0" r="8255" b="0"/>
            <wp:docPr id="2" name="Bild 2" descr="../../../Graphs/LAYOUT/15-11%203rd%20leaflet/PNGs/15-10-22-BBP-Worldwide-Prod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Graphs/LAYOUT/15-11%203rd%20leaflet/PNGs/15-10-22-BBP-Worldwide-ProdC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</w:p>
    <w:p w14:paraId="33623FFC" w14:textId="77777777" w:rsidR="004D7B71" w:rsidRDefault="004D7B71" w:rsidP="006C2DA4">
      <w:pPr>
        <w:widowControl w:val="0"/>
        <w:autoSpaceDE w:val="0"/>
        <w:autoSpaceDN w:val="0"/>
        <w:adjustRightInd w:val="0"/>
        <w:spacing w:after="160" w:line="276" w:lineRule="auto"/>
        <w:jc w:val="both"/>
        <w:textAlignment w:val="center"/>
        <w:rPr>
          <w:rFonts w:ascii="Times New Roman" w:hAnsi="Times New Roman"/>
          <w:color w:val="000000"/>
          <w:lang w:val="en-US"/>
        </w:rPr>
      </w:pPr>
      <w:bookmarkStart w:id="35" w:name="OLE_LINK49"/>
      <w:bookmarkStart w:id="36" w:name="OLE_LINK50"/>
      <w:bookmarkStart w:id="37" w:name="OLE_LINK446"/>
      <w:bookmarkStart w:id="38" w:name="OLE_LINK447"/>
      <w:bookmarkEnd w:id="22"/>
      <w:bookmarkEnd w:id="23"/>
    </w:p>
    <w:p w14:paraId="255EC749" w14:textId="095BE9EB" w:rsidR="006C2DA4" w:rsidRPr="006C2DA4" w:rsidRDefault="006C2DA4" w:rsidP="006C2DA4">
      <w:pPr>
        <w:widowControl w:val="0"/>
        <w:autoSpaceDE w:val="0"/>
        <w:autoSpaceDN w:val="0"/>
        <w:adjustRightInd w:val="0"/>
        <w:spacing w:after="160" w:line="276" w:lineRule="auto"/>
        <w:jc w:val="both"/>
        <w:textAlignment w:val="center"/>
        <w:rPr>
          <w:rFonts w:ascii="Times New Roman" w:hAnsi="Times New Roman"/>
          <w:lang w:val="en-US"/>
        </w:rPr>
      </w:pPr>
      <w:r w:rsidRPr="006C2DA4">
        <w:rPr>
          <w:rFonts w:ascii="Times New Roman" w:hAnsi="Times New Roman"/>
          <w:color w:val="000000"/>
          <w:lang w:val="en-US"/>
        </w:rPr>
        <w:t xml:space="preserve">The most dynamic development is foreseen for drop-in bio-based polymers, but this is closely followed by new bio-based polymers. Drop-in bio-based polymers are chemically identical to their petrochemical counterparts but at least partially derived from biomass. </w:t>
      </w:r>
      <w:bookmarkStart w:id="39" w:name="OLE_LINK6"/>
      <w:bookmarkStart w:id="40" w:name="OLE_LINK7"/>
      <w:r w:rsidRPr="006C2DA4">
        <w:rPr>
          <w:rFonts w:ascii="Times New Roman" w:hAnsi="Times New Roman"/>
          <w:color w:val="000000"/>
          <w:lang w:val="en-US"/>
        </w:rPr>
        <w:t>This group is spearheaded by partly bio-based polyethylene terephthalate (PET)</w:t>
      </w:r>
      <w:bookmarkStart w:id="41" w:name="OLE_LINK51"/>
      <w:bookmarkStart w:id="42" w:name="OLE_LINK52"/>
      <w:bookmarkEnd w:id="35"/>
      <w:bookmarkEnd w:id="36"/>
      <w:r w:rsidRPr="006C2DA4">
        <w:rPr>
          <w:rFonts w:ascii="Times New Roman" w:hAnsi="Times New Roman"/>
          <w:lang w:val="en-US"/>
        </w:rPr>
        <w:t>, largely due to the Plant PET Technology Collaborative (PTC) initiative launched by The Coca-Cola Company.</w:t>
      </w:r>
      <w:bookmarkEnd w:id="39"/>
      <w:bookmarkEnd w:id="40"/>
      <w:r w:rsidRPr="006C2DA4">
        <w:rPr>
          <w:rFonts w:ascii="Times New Roman" w:hAnsi="Times New Roman"/>
          <w:color w:val="000000"/>
          <w:lang w:val="en-US"/>
        </w:rPr>
        <w:t xml:space="preserve"> </w:t>
      </w:r>
      <w:r w:rsidRPr="006C2DA4">
        <w:rPr>
          <w:rFonts w:ascii="Times New Roman" w:hAnsi="Times New Roman"/>
          <w:lang w:val="en-US"/>
        </w:rPr>
        <w:t xml:space="preserve">The second most dynamic development is foreseen for </w:t>
      </w:r>
      <w:proofErr w:type="spellStart"/>
      <w:r w:rsidRPr="006C2DA4">
        <w:rPr>
          <w:rFonts w:ascii="Times New Roman" w:hAnsi="Times New Roman"/>
          <w:lang w:val="en-US"/>
        </w:rPr>
        <w:t>polyhydroxyalkanoates</w:t>
      </w:r>
      <w:proofErr w:type="spellEnd"/>
      <w:r w:rsidRPr="006C2DA4">
        <w:rPr>
          <w:rFonts w:ascii="Times New Roman" w:hAnsi="Times New Roman"/>
          <w:lang w:val="en-US"/>
        </w:rPr>
        <w:t xml:space="preserve"> (PHA), which, contrary to bio-based PET, are new polymers, but still have similar growth rates to those of bio-based PET. </w:t>
      </w:r>
      <w:r w:rsidR="00D01C22">
        <w:rPr>
          <w:rFonts w:ascii="Times New Roman" w:hAnsi="Times New Roman"/>
          <w:lang w:val="en-US"/>
        </w:rPr>
        <w:t xml:space="preserve">Polybutylene succinate (PBS) and </w:t>
      </w:r>
      <w:proofErr w:type="spellStart"/>
      <w:r w:rsidR="00D01C22">
        <w:rPr>
          <w:rFonts w:ascii="Times New Roman" w:hAnsi="Times New Roman"/>
          <w:lang w:val="en-US"/>
        </w:rPr>
        <w:t>polylactic</w:t>
      </w:r>
      <w:proofErr w:type="spellEnd"/>
      <w:r w:rsidR="00D01C22">
        <w:rPr>
          <w:rFonts w:ascii="Times New Roman" w:hAnsi="Times New Roman"/>
          <w:lang w:val="en-US"/>
        </w:rPr>
        <w:t xml:space="preserve"> acid (PLA)</w:t>
      </w:r>
      <w:r w:rsidRPr="006C2DA4">
        <w:rPr>
          <w:rFonts w:ascii="Times New Roman" w:hAnsi="Times New Roman"/>
          <w:lang w:val="en-US"/>
        </w:rPr>
        <w:t xml:space="preserve"> are showing impressive growth as well: their production capacities are expected </w:t>
      </w:r>
      <w:r w:rsidR="00D01C22">
        <w:rPr>
          <w:rFonts w:ascii="Times New Roman" w:hAnsi="Times New Roman"/>
          <w:lang w:val="en-US"/>
        </w:rPr>
        <w:t>to almost quadruple between 2014</w:t>
      </w:r>
      <w:r w:rsidRPr="006C2DA4">
        <w:rPr>
          <w:rFonts w:ascii="Times New Roman" w:hAnsi="Times New Roman"/>
          <w:lang w:val="en-US"/>
        </w:rPr>
        <w:t xml:space="preserve"> and 2020. </w:t>
      </w:r>
    </w:p>
    <w:bookmarkEnd w:id="37"/>
    <w:bookmarkEnd w:id="38"/>
    <w:p w14:paraId="401014C2" w14:textId="22739418" w:rsidR="006C2DA4" w:rsidRDefault="006C2DA4" w:rsidP="006C2D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r w:rsidRPr="006C2DA4">
        <w:rPr>
          <w:rFonts w:ascii="Times New Roman" w:hAnsi="Times New Roman"/>
          <w:color w:val="000000"/>
          <w:lang w:val="en-US"/>
        </w:rPr>
        <w:t xml:space="preserve">Most investment in new bio-based polymer capacities will take place in Asia because of better access to feedstock and </w:t>
      </w:r>
      <w:r w:rsidR="00C30D71" w:rsidRPr="006C2DA4">
        <w:rPr>
          <w:rFonts w:ascii="Times New Roman" w:hAnsi="Times New Roman"/>
          <w:color w:val="000000"/>
          <w:lang w:val="en-US"/>
        </w:rPr>
        <w:t>favorable</w:t>
      </w:r>
      <w:r w:rsidRPr="006C2DA4">
        <w:rPr>
          <w:rFonts w:ascii="Times New Roman" w:hAnsi="Times New Roman"/>
          <w:color w:val="000000"/>
          <w:lang w:val="en-US"/>
        </w:rPr>
        <w:t xml:space="preserve"> political framework. Europe’s share is</w:t>
      </w:r>
      <w:r w:rsidR="00D01C22">
        <w:rPr>
          <w:rFonts w:ascii="Times New Roman" w:hAnsi="Times New Roman"/>
          <w:color w:val="000000"/>
          <w:lang w:val="en-US"/>
        </w:rPr>
        <w:t xml:space="preserve"> projected to decrease from 15.4% to 4.9</w:t>
      </w:r>
      <w:r w:rsidRPr="006C2DA4">
        <w:rPr>
          <w:rFonts w:ascii="Times New Roman" w:hAnsi="Times New Roman"/>
          <w:color w:val="000000"/>
          <w:lang w:val="en-US"/>
        </w:rPr>
        <w:t>%, and North America’</w:t>
      </w:r>
      <w:r w:rsidR="00776F21">
        <w:rPr>
          <w:rFonts w:ascii="Times New Roman" w:hAnsi="Times New Roman"/>
          <w:color w:val="000000"/>
          <w:lang w:val="en-US"/>
        </w:rPr>
        <w:t>s share is set t</w:t>
      </w:r>
      <w:r w:rsidR="00D01C22">
        <w:rPr>
          <w:rFonts w:ascii="Times New Roman" w:hAnsi="Times New Roman"/>
          <w:color w:val="000000"/>
          <w:lang w:val="en-US"/>
        </w:rPr>
        <w:t>o fall from 14</w:t>
      </w:r>
      <w:r w:rsidR="008D21AF">
        <w:rPr>
          <w:rFonts w:ascii="Times New Roman" w:hAnsi="Times New Roman"/>
          <w:color w:val="000000"/>
          <w:lang w:val="en-US"/>
        </w:rPr>
        <w:t>% to 4</w:t>
      </w:r>
      <w:r w:rsidR="00D01C22">
        <w:rPr>
          <w:rFonts w:ascii="Times New Roman" w:hAnsi="Times New Roman"/>
          <w:color w:val="000000"/>
          <w:lang w:val="en-US"/>
        </w:rPr>
        <w:t>.1</w:t>
      </w:r>
      <w:r w:rsidRPr="006C2DA4">
        <w:rPr>
          <w:rFonts w:ascii="Times New Roman" w:hAnsi="Times New Roman"/>
          <w:color w:val="000000"/>
          <w:lang w:val="en-US"/>
        </w:rPr>
        <w:t>%, whereas Asia’s is</w:t>
      </w:r>
      <w:r w:rsidR="008D21AF">
        <w:rPr>
          <w:rFonts w:ascii="Times New Roman" w:hAnsi="Times New Roman"/>
          <w:color w:val="000000"/>
          <w:lang w:val="en-US"/>
        </w:rPr>
        <w:t xml:space="preserve"> predicted to increase from 5</w:t>
      </w:r>
      <w:r w:rsidR="00D01C22">
        <w:rPr>
          <w:rFonts w:ascii="Times New Roman" w:hAnsi="Times New Roman"/>
          <w:color w:val="000000"/>
          <w:lang w:val="en-US"/>
        </w:rPr>
        <w:t>8.1% to 80.</w:t>
      </w:r>
      <w:r w:rsidR="008D21AF">
        <w:rPr>
          <w:rFonts w:ascii="Times New Roman" w:hAnsi="Times New Roman"/>
          <w:color w:val="000000"/>
          <w:lang w:val="en-US"/>
        </w:rPr>
        <w:t>6</w:t>
      </w:r>
      <w:r w:rsidRPr="006C2DA4">
        <w:rPr>
          <w:rFonts w:ascii="Times New Roman" w:hAnsi="Times New Roman"/>
          <w:color w:val="000000"/>
          <w:lang w:val="en-US"/>
        </w:rPr>
        <w:t xml:space="preserve">%. South America is likely to remain constant with a share </w:t>
      </w:r>
      <w:r w:rsidR="00D01C22">
        <w:rPr>
          <w:rFonts w:ascii="Times New Roman" w:hAnsi="Times New Roman"/>
          <w:color w:val="000000"/>
          <w:lang w:val="en-US"/>
        </w:rPr>
        <w:t>between 10% and</w:t>
      </w:r>
      <w:r w:rsidRPr="006C2DA4">
        <w:rPr>
          <w:rFonts w:ascii="Times New Roman" w:hAnsi="Times New Roman"/>
          <w:color w:val="000000"/>
          <w:lang w:val="en-US"/>
        </w:rPr>
        <w:t xml:space="preserve"> 12%. In other words, world market shares are expected to shift dramatically. Asia is predicted to experience most of the developments in the field of bio-based building block and polymer production, while Europe and North America are slated to lose more than </w:t>
      </w:r>
      <w:r w:rsidR="00D01C22">
        <w:rPr>
          <w:rFonts w:ascii="Times New Roman" w:hAnsi="Times New Roman"/>
          <w:color w:val="000000"/>
          <w:lang w:val="en-US"/>
        </w:rPr>
        <w:t>two thirds of their shares</w:t>
      </w:r>
      <w:r>
        <w:rPr>
          <w:rFonts w:ascii="Times New Roman" w:hAnsi="Times New Roman"/>
          <w:color w:val="000000"/>
          <w:lang w:val="en-US"/>
        </w:rPr>
        <w:t>.</w:t>
      </w:r>
    </w:p>
    <w:p w14:paraId="4BAAEEFC" w14:textId="10A5F89A" w:rsidR="006C2DA4" w:rsidRDefault="006C2DA4" w:rsidP="006C2DA4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 New Roman" w:hAnsi="Times New Roman"/>
          <w:color w:val="000000"/>
          <w:lang w:val="en-US"/>
        </w:rPr>
      </w:pPr>
    </w:p>
    <w:bookmarkEnd w:id="41"/>
    <w:bookmarkEnd w:id="42"/>
    <w:p w14:paraId="0B50E5FC" w14:textId="442EE703" w:rsidR="00D07E90" w:rsidRDefault="00D07E90" w:rsidP="00991767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NewRomanPSMT" w:hAnsi="TimesNewRomanPSMT" w:cs="TimesNewRomanPSMT"/>
          <w:color w:val="000000"/>
          <w:lang w:val="en-US"/>
        </w:rPr>
      </w:pPr>
    </w:p>
    <w:p w14:paraId="513CC955" w14:textId="77777777" w:rsidR="009426D3" w:rsidRDefault="009426D3" w:rsidP="00991767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NewRomanPSMT" w:hAnsi="TimesNewRomanPSMT" w:cs="TimesNewRomanPSMT"/>
          <w:color w:val="000000"/>
          <w:lang w:val="en-US"/>
        </w:rPr>
      </w:pPr>
    </w:p>
    <w:p w14:paraId="38204540" w14:textId="17DC7C14" w:rsidR="00991767" w:rsidRPr="005F4B39" w:rsidRDefault="00991767" w:rsidP="00991767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NewRomanPSMT" w:hAnsi="TimesNewRomanPSMT" w:cs="TimesNewRomanPSMT"/>
          <w:color w:val="000000"/>
          <w:lang w:val="en-US"/>
        </w:rPr>
      </w:pPr>
      <w:bookmarkStart w:id="43" w:name="OLE_LINK53"/>
      <w:bookmarkStart w:id="44" w:name="OLE_LINK54"/>
      <w:r>
        <w:rPr>
          <w:rFonts w:ascii="TimesNewRomanPSMT" w:hAnsi="TimesNewRomanPSMT" w:cs="TimesNewRomanPSMT"/>
          <w:color w:val="000000"/>
          <w:lang w:val="en-US"/>
        </w:rPr>
        <w:lastRenderedPageBreak/>
        <w:t xml:space="preserve">This </w:t>
      </w:r>
      <w:r w:rsidR="00A225A3" w:rsidRPr="009426D3">
        <w:rPr>
          <w:rFonts w:ascii="TimesNewRomanPSMT" w:hAnsi="TimesNewRomanPSMT" w:cs="TimesNewRomanPSMT"/>
          <w:b/>
          <w:color w:val="000000"/>
          <w:lang w:val="en-US"/>
        </w:rPr>
        <w:t>500 page-</w:t>
      </w:r>
      <w:r w:rsidRPr="009426D3">
        <w:rPr>
          <w:rFonts w:ascii="TimesNewRomanPSMT" w:hAnsi="TimesNewRomanPSMT" w:cs="TimesNewRomanPSMT"/>
          <w:b/>
          <w:color w:val="000000"/>
          <w:lang w:val="en-US"/>
        </w:rPr>
        <w:t>report</w:t>
      </w:r>
      <w:r w:rsidRPr="005F4B39">
        <w:rPr>
          <w:rFonts w:ascii="TimesNewRomanPSMT" w:hAnsi="TimesNewRomanPSMT" w:cs="TimesNewRomanPSMT"/>
          <w:color w:val="000000"/>
          <w:lang w:val="en-US"/>
        </w:rPr>
        <w:t xml:space="preserve"> presents the findin</w:t>
      </w:r>
      <w:r>
        <w:rPr>
          <w:rFonts w:ascii="TimesNewRomanPSMT" w:hAnsi="TimesNewRomanPSMT" w:cs="TimesNewRomanPSMT"/>
          <w:color w:val="000000"/>
          <w:lang w:val="en-US"/>
        </w:rPr>
        <w:t xml:space="preserve">gs of </w:t>
      </w:r>
      <w:proofErr w:type="gramStart"/>
      <w:r>
        <w:rPr>
          <w:rFonts w:ascii="TimesNewRomanPSMT" w:hAnsi="TimesNewRomanPSMT" w:cs="TimesNewRomanPSMT"/>
          <w:color w:val="000000"/>
          <w:lang w:val="en-US"/>
        </w:rPr>
        <w:t>nova</w:t>
      </w:r>
      <w:proofErr w:type="gramEnd"/>
      <w:r>
        <w:rPr>
          <w:rFonts w:ascii="TimesNewRomanPSMT" w:hAnsi="TimesNewRomanPSMT" w:cs="TimesNewRomanPSMT"/>
          <w:color w:val="000000"/>
          <w:lang w:val="en-US"/>
        </w:rPr>
        <w:t>-Institute’s</w:t>
      </w:r>
      <w:r w:rsidRPr="005F4B39">
        <w:rPr>
          <w:rFonts w:ascii="TimesNewRomanPSMT" w:hAnsi="TimesNewRomanPSMT" w:cs="TimesNewRomanPSMT"/>
          <w:color w:val="000000"/>
          <w:lang w:val="en-US"/>
        </w:rPr>
        <w:t xml:space="preserve"> market study, which is made up of three parts: “market data”, “trend reports” and “company profiles”</w:t>
      </w:r>
      <w:r w:rsidR="00A225A3">
        <w:rPr>
          <w:rFonts w:ascii="TimesNewRomanPSMT" w:hAnsi="TimesNewRomanPSMT" w:cs="TimesNewRomanPSMT"/>
          <w:color w:val="000000"/>
          <w:lang w:val="en-US"/>
        </w:rPr>
        <w:t xml:space="preserve"> and contains over 200 tables and figures</w:t>
      </w:r>
      <w:r w:rsidRPr="005F4B39">
        <w:rPr>
          <w:rFonts w:ascii="TimesNewRomanPSMT" w:hAnsi="TimesNewRomanPSMT" w:cs="TimesNewRomanPSMT"/>
          <w:color w:val="000000"/>
          <w:lang w:val="en-US"/>
        </w:rPr>
        <w:t>.</w:t>
      </w:r>
    </w:p>
    <w:p w14:paraId="490D8A1B" w14:textId="7A67CE1F" w:rsidR="00991767" w:rsidRPr="00991767" w:rsidRDefault="00991767" w:rsidP="00991767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 New Roman" w:hAnsi="Times New Roman"/>
          <w:color w:val="000000"/>
          <w:szCs w:val="24"/>
          <w:lang w:val="en-US"/>
        </w:rPr>
      </w:pPr>
      <w:r w:rsidRPr="00991767">
        <w:rPr>
          <w:rFonts w:ascii="Times New Roman" w:hAnsi="Times New Roman"/>
          <w:color w:val="000000"/>
          <w:szCs w:val="24"/>
          <w:lang w:val="en-US"/>
        </w:rPr>
        <w:t xml:space="preserve">The </w:t>
      </w:r>
      <w:r w:rsidRPr="00991767">
        <w:rPr>
          <w:rFonts w:ascii="Times New Roman" w:hAnsi="Times New Roman"/>
          <w:b/>
          <w:bCs/>
          <w:color w:val="000000"/>
          <w:szCs w:val="24"/>
          <w:lang w:val="en-US"/>
        </w:rPr>
        <w:t>“market data”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 section presents market data about total production capacities and the main application fields for selected bio-based polymers worldwide (status quo in 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2011, </w:t>
      </w:r>
      <w:r w:rsidRPr="00991767">
        <w:rPr>
          <w:rFonts w:ascii="Times New Roman" w:hAnsi="Times New Roman"/>
          <w:color w:val="000000"/>
          <w:szCs w:val="24"/>
          <w:lang w:val="en-US"/>
        </w:rPr>
        <w:t>2013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 and 2014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, trends and investments towards 2020). </w:t>
      </w:r>
      <w:r w:rsidR="009426D3">
        <w:rPr>
          <w:rFonts w:ascii="Times New Roman" w:hAnsi="Times New Roman"/>
          <w:color w:val="000000"/>
          <w:szCs w:val="24"/>
          <w:lang w:val="en-US"/>
        </w:rPr>
        <w:t>T</w:t>
      </w:r>
      <w:r w:rsidRPr="00991767">
        <w:rPr>
          <w:rFonts w:ascii="Times New Roman" w:hAnsi="Times New Roman"/>
          <w:color w:val="000000"/>
          <w:szCs w:val="24"/>
          <w:lang w:val="en-US"/>
        </w:rPr>
        <w:t>his part not only covers bio-based polymers, but also investigates the current bio-based building block platforms.</w:t>
      </w:r>
    </w:p>
    <w:p w14:paraId="27781031" w14:textId="6E664A32" w:rsidR="00991767" w:rsidRPr="00991767" w:rsidRDefault="00991767" w:rsidP="00991767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 New Roman" w:hAnsi="Times New Roman"/>
          <w:color w:val="000000"/>
          <w:szCs w:val="24"/>
          <w:lang w:val="en-US"/>
        </w:rPr>
      </w:pPr>
      <w:r w:rsidRPr="00991767">
        <w:rPr>
          <w:rFonts w:ascii="Times New Roman" w:hAnsi="Times New Roman"/>
          <w:color w:val="000000"/>
          <w:szCs w:val="24"/>
          <w:lang w:val="en-US"/>
        </w:rPr>
        <w:t xml:space="preserve">The </w:t>
      </w:r>
      <w:r w:rsidRPr="00991767">
        <w:rPr>
          <w:rFonts w:ascii="Times New Roman" w:hAnsi="Times New Roman"/>
          <w:b/>
          <w:bCs/>
          <w:color w:val="000000"/>
          <w:szCs w:val="24"/>
          <w:lang w:val="en-US"/>
        </w:rPr>
        <w:t>“trend reports”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 section contains a total of eleven independent articles by leading experts in the field of bio-based polymers These trend reports cover in detail every recent issue in the worldwide bio-based </w:t>
      </w:r>
      <w:r w:rsidR="00914936">
        <w:rPr>
          <w:rFonts w:ascii="Times New Roman" w:hAnsi="Times New Roman"/>
          <w:color w:val="000000"/>
          <w:szCs w:val="24"/>
          <w:lang w:val="en-US"/>
        </w:rPr>
        <w:t xml:space="preserve">building block and </w:t>
      </w:r>
      <w:r w:rsidRPr="00991767">
        <w:rPr>
          <w:rFonts w:ascii="Times New Roman" w:hAnsi="Times New Roman"/>
          <w:color w:val="000000"/>
          <w:szCs w:val="24"/>
          <w:lang w:val="en-US"/>
        </w:rPr>
        <w:t>polymer market.</w:t>
      </w:r>
    </w:p>
    <w:p w14:paraId="6411B942" w14:textId="22D14541" w:rsidR="00B35E38" w:rsidRPr="00991767" w:rsidRDefault="00991767" w:rsidP="006C2DA4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rPr>
          <w:rFonts w:ascii="Times New Roman" w:hAnsi="Times New Roman"/>
          <w:color w:val="000000"/>
          <w:szCs w:val="24"/>
          <w:lang w:val="en-US"/>
        </w:rPr>
      </w:pPr>
      <w:r w:rsidRPr="00991767">
        <w:rPr>
          <w:rFonts w:ascii="Times New Roman" w:hAnsi="Times New Roman"/>
          <w:color w:val="000000"/>
          <w:szCs w:val="24"/>
          <w:lang w:val="en-US"/>
        </w:rPr>
        <w:t>The final “</w:t>
      </w:r>
      <w:r w:rsidRPr="00991767">
        <w:rPr>
          <w:rFonts w:ascii="Times New Roman" w:hAnsi="Times New Roman"/>
          <w:b/>
          <w:bCs/>
          <w:color w:val="000000"/>
          <w:szCs w:val="24"/>
          <w:lang w:val="en-US"/>
        </w:rPr>
        <w:t>company profiles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” section includes about 100 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company profiles with specific data including locations, 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bio-based building blocks and 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polymers, </w:t>
      </w:r>
      <w:proofErr w:type="spellStart"/>
      <w:r w:rsidRPr="00991767">
        <w:rPr>
          <w:rFonts w:ascii="Times New Roman" w:hAnsi="Times New Roman"/>
          <w:color w:val="000000"/>
          <w:szCs w:val="24"/>
          <w:lang w:val="en-US"/>
        </w:rPr>
        <w:t>feedstocks</w:t>
      </w:r>
      <w:proofErr w:type="spellEnd"/>
      <w:r w:rsidRPr="00991767">
        <w:rPr>
          <w:rFonts w:ascii="Times New Roman" w:hAnsi="Times New Roman"/>
          <w:color w:val="000000"/>
          <w:szCs w:val="24"/>
          <w:lang w:val="en-US"/>
        </w:rPr>
        <w:t xml:space="preserve"> and production capac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ities (actual data for 2011, </w:t>
      </w:r>
      <w:r w:rsidRPr="00991767">
        <w:rPr>
          <w:rFonts w:ascii="Times New Roman" w:hAnsi="Times New Roman"/>
          <w:color w:val="000000"/>
          <w:szCs w:val="24"/>
          <w:lang w:val="en-US"/>
        </w:rPr>
        <w:t>2013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 and 2014</w:t>
      </w:r>
      <w:r w:rsidRPr="00991767">
        <w:rPr>
          <w:rFonts w:ascii="Times New Roman" w:hAnsi="Times New Roman"/>
          <w:color w:val="000000"/>
          <w:szCs w:val="24"/>
          <w:lang w:val="en-US"/>
        </w:rPr>
        <w:t xml:space="preserve"> and forecasts for 2020). The profiles also encompass basic information on the companies (joint ventures, partnerships, technology and bio-based products). A company index by </w:t>
      </w:r>
      <w:r w:rsidR="00F24FFB">
        <w:rPr>
          <w:rFonts w:ascii="Times New Roman" w:hAnsi="Times New Roman"/>
          <w:color w:val="000000"/>
          <w:szCs w:val="24"/>
          <w:lang w:val="en-US"/>
        </w:rPr>
        <w:t xml:space="preserve">bio-based building blocks and </w:t>
      </w:r>
      <w:r w:rsidRPr="00991767">
        <w:rPr>
          <w:rFonts w:ascii="Times New Roman" w:hAnsi="Times New Roman"/>
          <w:color w:val="000000"/>
          <w:szCs w:val="24"/>
          <w:lang w:val="en-US"/>
        </w:rPr>
        <w:t>polymers, with list of acronyms, follows.</w:t>
      </w:r>
    </w:p>
    <w:p w14:paraId="27B9A9B8" w14:textId="77777777" w:rsidR="006C2DA4" w:rsidRPr="006C2DA4" w:rsidRDefault="006C2DA4" w:rsidP="009B4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en-GB"/>
        </w:rPr>
      </w:pPr>
    </w:p>
    <w:p w14:paraId="70F838DC" w14:textId="6E7ACBCA" w:rsidR="009B4C5D" w:rsidRPr="006C2DA4" w:rsidRDefault="006C2DA4" w:rsidP="009B4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en-GB"/>
        </w:rPr>
      </w:pPr>
      <w:bookmarkStart w:id="45" w:name="OLE_LINK43"/>
      <w:bookmarkStart w:id="46" w:name="OLE_LINK44"/>
      <w:r>
        <w:rPr>
          <w:rFonts w:ascii="Times New Roman" w:hAnsi="Times New Roman"/>
          <w:b/>
          <w:lang w:val="en-GB"/>
        </w:rPr>
        <w:t xml:space="preserve">The full report can be ordered for </w:t>
      </w:r>
      <w:r w:rsidR="00C30D71">
        <w:rPr>
          <w:rFonts w:ascii="Times New Roman" w:hAnsi="Times New Roman"/>
          <w:b/>
          <w:lang w:val="en-GB"/>
        </w:rPr>
        <w:t>€</w:t>
      </w:r>
      <w:r w:rsidR="002341EC">
        <w:rPr>
          <w:rFonts w:ascii="Times New Roman" w:hAnsi="Times New Roman"/>
          <w:b/>
          <w:lang w:val="en-GB"/>
        </w:rPr>
        <w:t xml:space="preserve">3,000 plus VAT and </w:t>
      </w:r>
      <w:r>
        <w:rPr>
          <w:rFonts w:ascii="Times New Roman" w:hAnsi="Times New Roman"/>
          <w:b/>
          <w:lang w:val="en-GB"/>
        </w:rPr>
        <w:t xml:space="preserve">the short version of the report </w:t>
      </w:r>
      <w:r w:rsidR="002341EC">
        <w:rPr>
          <w:rFonts w:ascii="Times New Roman" w:hAnsi="Times New Roman"/>
          <w:b/>
          <w:lang w:val="en-GB"/>
        </w:rPr>
        <w:t xml:space="preserve">can be downloaded </w:t>
      </w:r>
      <w:r>
        <w:rPr>
          <w:rFonts w:ascii="Times New Roman" w:hAnsi="Times New Roman"/>
          <w:b/>
          <w:lang w:val="en-GB"/>
        </w:rPr>
        <w:t>for free at</w:t>
      </w:r>
      <w:r w:rsidR="009B4C5D" w:rsidRPr="006C2DA4">
        <w:rPr>
          <w:rFonts w:ascii="Times New Roman" w:hAnsi="Times New Roman"/>
          <w:b/>
          <w:lang w:val="en-GB"/>
        </w:rPr>
        <w:t xml:space="preserve"> </w:t>
      </w:r>
      <w:hyperlink r:id="rId13" w:history="1">
        <w:r w:rsidR="009B4C5D" w:rsidRPr="006C2DA4">
          <w:rPr>
            <w:rStyle w:val="Link"/>
            <w:rFonts w:ascii="Times New Roman" w:hAnsi="Times New Roman"/>
            <w:b/>
            <w:lang w:val="en-GB"/>
          </w:rPr>
          <w:t>www.bio-based.eu/markets</w:t>
        </w:r>
      </w:hyperlink>
      <w:r>
        <w:rPr>
          <w:rStyle w:val="Link"/>
          <w:rFonts w:ascii="Times New Roman" w:hAnsi="Times New Roman"/>
          <w:b/>
          <w:lang w:val="en-GB"/>
        </w:rPr>
        <w:t>.</w:t>
      </w:r>
    </w:p>
    <w:bookmarkEnd w:id="43"/>
    <w:bookmarkEnd w:id="44"/>
    <w:bookmarkEnd w:id="45"/>
    <w:bookmarkEnd w:id="46"/>
    <w:p w14:paraId="582BFC54" w14:textId="77777777" w:rsidR="009B4C5D" w:rsidRDefault="009B4C5D" w:rsidP="009B4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14:paraId="04C2845B" w14:textId="04791536" w:rsidR="008728D2" w:rsidRDefault="008728D2" w:rsidP="00941366">
      <w:pPr>
        <w:jc w:val="both"/>
        <w:rPr>
          <w:rFonts w:ascii="Times" w:hAnsi="Times"/>
          <w:b/>
          <w:szCs w:val="24"/>
          <w:lang w:val="en-GB"/>
        </w:rPr>
      </w:pPr>
      <w:bookmarkStart w:id="47" w:name="OLE_LINK57"/>
      <w:bookmarkStart w:id="48" w:name="OLE_LINK58"/>
      <w:r w:rsidRPr="008728D2">
        <w:rPr>
          <w:rFonts w:ascii="TimesNewRomanPSMT" w:hAnsi="TimesNewRomanPSMT" w:cs="TimesNewRomanPSMT"/>
          <w:b/>
          <w:color w:val="000000"/>
          <w:lang w:val="en-US"/>
        </w:rPr>
        <w:t>Please</w:t>
      </w:r>
      <w:r w:rsidR="003E2D4D">
        <w:rPr>
          <w:rFonts w:ascii="TimesNewRomanPSMT" w:hAnsi="TimesNewRomanPSMT" w:cs="TimesNewRomanPSMT"/>
          <w:b/>
          <w:color w:val="000000"/>
          <w:lang w:val="en-US"/>
        </w:rPr>
        <w:t xml:space="preserve"> download </w:t>
      </w:r>
      <w:r w:rsidRPr="008728D2">
        <w:rPr>
          <w:rFonts w:ascii="TimesNewRomanPSMT" w:hAnsi="TimesNewRomanPSMT" w:cs="TimesNewRomanPSMT"/>
          <w:b/>
          <w:color w:val="000000"/>
          <w:lang w:val="en-US"/>
        </w:rPr>
        <w:t>t</w:t>
      </w:r>
      <w:r w:rsidR="00750DBE" w:rsidRPr="008728D2">
        <w:rPr>
          <w:rFonts w:ascii="TimesNewRomanPSMT" w:hAnsi="TimesNewRomanPSMT" w:cs="TimesNewRomanPSMT"/>
          <w:b/>
          <w:color w:val="000000"/>
          <w:lang w:val="en-US"/>
        </w:rPr>
        <w:t>he figures included in the press release</w:t>
      </w:r>
      <w:r w:rsidR="003E2D4D">
        <w:rPr>
          <w:rFonts w:ascii="TimesNewRomanPSMT" w:hAnsi="TimesNewRomanPSMT" w:cs="TimesNewRomanPSMT"/>
          <w:b/>
          <w:color w:val="000000"/>
          <w:lang w:val="en-US"/>
        </w:rPr>
        <w:t xml:space="preserve"> at the following link</w:t>
      </w:r>
      <w:r w:rsidRPr="008728D2">
        <w:rPr>
          <w:rFonts w:ascii="TimesNewRomanPSMT" w:hAnsi="TimesNewRomanPSMT" w:cs="TimesNewRomanPSMT"/>
          <w:b/>
          <w:color w:val="000000"/>
          <w:lang w:val="en-US"/>
        </w:rPr>
        <w:t>.</w:t>
      </w:r>
      <w:r w:rsidR="00941366">
        <w:rPr>
          <w:rFonts w:ascii="TimesNewRomanPSMT" w:hAnsi="TimesNewRomanPSMT" w:cs="TimesNewRomanPSMT"/>
          <w:b/>
          <w:color w:val="000000"/>
          <w:lang w:val="en-US"/>
        </w:rPr>
        <w:t xml:space="preserve"> </w:t>
      </w:r>
      <w:r w:rsidR="00941366" w:rsidRPr="0080379D">
        <w:rPr>
          <w:rFonts w:ascii="Times" w:hAnsi="Times"/>
          <w:b/>
          <w:szCs w:val="24"/>
          <w:lang w:val="en-GB"/>
        </w:rPr>
        <w:t>Use of the material is free of charge for press purposes.</w:t>
      </w:r>
    </w:p>
    <w:bookmarkStart w:id="49" w:name="OLE_LINK5"/>
    <w:bookmarkStart w:id="50" w:name="OLE_LINK10"/>
    <w:p w14:paraId="2B10CF51" w14:textId="01ABF6ED" w:rsidR="00BE7620" w:rsidRPr="000F3A3F" w:rsidRDefault="000F3A3F" w:rsidP="00941366">
      <w:pPr>
        <w:jc w:val="both"/>
        <w:rPr>
          <w:rStyle w:val="Link"/>
          <w:rFonts w:ascii="Times" w:hAnsi="Times"/>
          <w:b/>
          <w:szCs w:val="24"/>
          <w:lang w:val="en-GB"/>
        </w:rPr>
      </w:pPr>
      <w:r>
        <w:rPr>
          <w:rFonts w:ascii="TimesNewRomanPSMT" w:hAnsi="TimesNewRomanPSMT" w:cs="TimesNewRomanPSMT"/>
          <w:b/>
          <w:lang w:val="en-US"/>
        </w:rPr>
        <w:fldChar w:fldCharType="begin"/>
      </w:r>
      <w:r w:rsidR="001D3203">
        <w:rPr>
          <w:rFonts w:ascii="TimesNewRomanPSMT" w:hAnsi="TimesNewRomanPSMT" w:cs="TimesNewRomanPSMT"/>
          <w:b/>
          <w:lang w:val="en-US"/>
        </w:rPr>
        <w:instrText>HYPERLINK "http://bio-based.eu/market_study/media/15-11-10-Graphics-biopolymers-nova.zip"</w:instrText>
      </w:r>
      <w:r>
        <w:rPr>
          <w:rFonts w:ascii="TimesNewRomanPSMT" w:hAnsi="TimesNewRomanPSMT" w:cs="TimesNewRomanPSMT"/>
          <w:b/>
          <w:lang w:val="en-US"/>
        </w:rPr>
        <w:fldChar w:fldCharType="separate"/>
      </w:r>
      <w:r w:rsidR="00BE7620" w:rsidRPr="000F3A3F">
        <w:rPr>
          <w:rStyle w:val="Link"/>
          <w:rFonts w:ascii="TimesNewRomanPSMT" w:hAnsi="TimesNewRomanPSMT" w:cs="TimesNewRomanPSMT"/>
          <w:b/>
          <w:lang w:val="en-US"/>
        </w:rPr>
        <w:t>http://bio-based.eu/market_study/media/15-</w:t>
      </w:r>
      <w:r w:rsidR="00251E0C" w:rsidRPr="000F3A3F">
        <w:rPr>
          <w:rStyle w:val="Link"/>
          <w:rFonts w:ascii="TimesNewRomanPSMT" w:hAnsi="TimesNewRomanPSMT" w:cs="TimesNewRomanPSMT"/>
          <w:b/>
          <w:lang w:val="en-US"/>
        </w:rPr>
        <w:t>11-10</w:t>
      </w:r>
      <w:r w:rsidR="00BE7620" w:rsidRPr="000F3A3F">
        <w:rPr>
          <w:rStyle w:val="Link"/>
          <w:rFonts w:ascii="TimesNewRomanPSMT" w:hAnsi="TimesNewRomanPSMT" w:cs="TimesNewRomanPSMT"/>
          <w:b/>
          <w:lang w:val="en-US"/>
        </w:rPr>
        <w:t>-Graphics-biopolymers-nova.zip</w:t>
      </w:r>
    </w:p>
    <w:bookmarkEnd w:id="47"/>
    <w:bookmarkEnd w:id="48"/>
    <w:bookmarkEnd w:id="49"/>
    <w:bookmarkEnd w:id="50"/>
    <w:p w14:paraId="7876CBAD" w14:textId="4E3516EA" w:rsidR="00941366" w:rsidRPr="00941366" w:rsidRDefault="000F3A3F" w:rsidP="00941366">
      <w:pPr>
        <w:jc w:val="both"/>
        <w:rPr>
          <w:rFonts w:ascii="Times" w:hAnsi="Times"/>
          <w:b/>
          <w:szCs w:val="24"/>
          <w:lang w:val="en-GB"/>
        </w:rPr>
      </w:pPr>
      <w:r>
        <w:rPr>
          <w:rFonts w:ascii="TimesNewRomanPSMT" w:hAnsi="TimesNewRomanPSMT" w:cs="TimesNewRomanPSMT"/>
          <w:b/>
          <w:lang w:val="en-US"/>
        </w:rPr>
        <w:fldChar w:fldCharType="end"/>
      </w:r>
    </w:p>
    <w:p w14:paraId="73FB2CE6" w14:textId="25D64266" w:rsidR="00750DBE" w:rsidRPr="008728D2" w:rsidRDefault="00750DBE" w:rsidP="0093710A">
      <w:pPr>
        <w:widowControl w:val="0"/>
        <w:autoSpaceDE w:val="0"/>
        <w:autoSpaceDN w:val="0"/>
        <w:adjustRightInd w:val="0"/>
        <w:spacing w:after="160" w:line="288" w:lineRule="auto"/>
        <w:jc w:val="both"/>
        <w:textAlignment w:val="center"/>
        <w:outlineLvl w:val="0"/>
        <w:rPr>
          <w:rFonts w:ascii="TimesNewRomanPSMT" w:hAnsi="TimesNewRomanPSMT" w:cs="TimesNewRomanPSMT"/>
          <w:b/>
          <w:color w:val="000000"/>
          <w:lang w:val="en-US"/>
        </w:rPr>
      </w:pPr>
      <w:r w:rsidRPr="008728D2">
        <w:rPr>
          <w:rFonts w:ascii="TimesNewRomanPSMT" w:hAnsi="TimesNewRomanPSMT" w:cs="TimesNewRomanPSMT"/>
          <w:b/>
          <w:color w:val="000000"/>
          <w:lang w:val="en-US"/>
        </w:rPr>
        <w:t>The zip-file includes:</w:t>
      </w:r>
    </w:p>
    <w:p w14:paraId="4DF00F15" w14:textId="211819AA" w:rsidR="00912B36" w:rsidRPr="008728D2" w:rsidRDefault="00251E0C" w:rsidP="008728D2">
      <w:pPr>
        <w:pStyle w:val="Listenabsatz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15-11-10</w:t>
      </w:r>
      <w:r w:rsidR="00F24FFB">
        <w:rPr>
          <w:rFonts w:ascii="Times New Roman" w:hAnsi="Times New Roman"/>
          <w:color w:val="000000"/>
          <w:lang w:val="en-US"/>
        </w:rPr>
        <w:t>_B</w:t>
      </w:r>
      <w:r>
        <w:rPr>
          <w:rFonts w:ascii="Times New Roman" w:hAnsi="Times New Roman"/>
          <w:color w:val="000000"/>
          <w:lang w:val="en-US"/>
        </w:rPr>
        <w:t>io-based_polymers-companies</w:t>
      </w:r>
      <w:r w:rsidR="00912B36" w:rsidRPr="008728D2">
        <w:rPr>
          <w:rFonts w:ascii="Times New Roman" w:hAnsi="Times New Roman"/>
          <w:color w:val="000000"/>
          <w:lang w:val="en-US"/>
        </w:rPr>
        <w:t>_production_capacities</w:t>
      </w:r>
      <w:r w:rsidR="00F24FFB">
        <w:rPr>
          <w:rFonts w:ascii="Times New Roman" w:hAnsi="Times New Roman"/>
          <w:color w:val="000000"/>
          <w:lang w:val="en-US"/>
        </w:rPr>
        <w:t>_</w:t>
      </w:r>
      <w:r>
        <w:rPr>
          <w:rFonts w:ascii="Times New Roman" w:hAnsi="Times New Roman"/>
          <w:color w:val="000000"/>
          <w:lang w:val="en-US"/>
        </w:rPr>
        <w:t>CAGR_</w:t>
      </w:r>
      <w:r w:rsidR="00F24FFB">
        <w:rPr>
          <w:rFonts w:ascii="Times New Roman" w:hAnsi="Times New Roman"/>
          <w:color w:val="000000"/>
          <w:lang w:val="en-US"/>
        </w:rPr>
        <w:t>2012-2014</w:t>
      </w:r>
      <w:r w:rsidR="00941366">
        <w:rPr>
          <w:rFonts w:ascii="Times New Roman" w:hAnsi="Times New Roman"/>
          <w:color w:val="000000"/>
          <w:lang w:val="en-US"/>
        </w:rPr>
        <w:t>.jpg</w:t>
      </w:r>
      <w:r w:rsidR="00D22EDF">
        <w:rPr>
          <w:rFonts w:ascii="Times New Roman" w:hAnsi="Times New Roman"/>
          <w:color w:val="000000"/>
          <w:lang w:val="en-US"/>
        </w:rPr>
        <w:t xml:space="preserve"> (source: </w:t>
      </w:r>
      <w:proofErr w:type="gramStart"/>
      <w:r w:rsidR="00D22EDF">
        <w:rPr>
          <w:rFonts w:ascii="Times New Roman" w:hAnsi="Times New Roman"/>
          <w:color w:val="000000"/>
          <w:lang w:val="en-US"/>
        </w:rPr>
        <w:t>nova</w:t>
      </w:r>
      <w:proofErr w:type="gramEnd"/>
      <w:r w:rsidR="00D22EDF">
        <w:rPr>
          <w:rFonts w:ascii="Times New Roman" w:hAnsi="Times New Roman"/>
          <w:color w:val="000000"/>
          <w:lang w:val="en-US"/>
        </w:rPr>
        <w:t>-Institut</w:t>
      </w:r>
      <w:r w:rsidR="00671E62">
        <w:rPr>
          <w:rFonts w:ascii="Times New Roman" w:hAnsi="Times New Roman"/>
          <w:color w:val="000000"/>
          <w:lang w:val="en-US"/>
        </w:rPr>
        <w:t>e</w:t>
      </w:r>
      <w:r w:rsidR="00D22EDF">
        <w:rPr>
          <w:rFonts w:ascii="Times New Roman" w:hAnsi="Times New Roman"/>
          <w:color w:val="000000"/>
          <w:lang w:val="en-US"/>
        </w:rPr>
        <w:t>)</w:t>
      </w:r>
    </w:p>
    <w:p w14:paraId="3E2147B9" w14:textId="71182F3B" w:rsidR="00912B36" w:rsidRDefault="00251E0C" w:rsidP="008728D2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76" w:lineRule="auto"/>
        <w:jc w:val="both"/>
        <w:textAlignment w:val="center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15-11-10</w:t>
      </w:r>
      <w:r w:rsidR="00912B36" w:rsidRPr="008728D2">
        <w:rPr>
          <w:rFonts w:ascii="Times New Roman" w:hAnsi="Times New Roman"/>
          <w:bCs/>
          <w:lang w:val="en-GB"/>
        </w:rPr>
        <w:t>_</w:t>
      </w:r>
      <w:bookmarkStart w:id="51" w:name="OLE_LINK62"/>
      <w:bookmarkStart w:id="52" w:name="OLE_LINK63"/>
      <w:r w:rsidR="00912B36" w:rsidRPr="008728D2">
        <w:rPr>
          <w:rFonts w:ascii="Times New Roman" w:hAnsi="Times New Roman"/>
          <w:bCs/>
          <w:lang w:val="en-GB"/>
        </w:rPr>
        <w:t>Bio-based_polymers-</w:t>
      </w:r>
      <w:bookmarkEnd w:id="51"/>
      <w:bookmarkEnd w:id="52"/>
      <w:r w:rsidR="00F24FFB">
        <w:rPr>
          <w:rFonts w:ascii="Times New Roman" w:hAnsi="Times New Roman"/>
          <w:bCs/>
          <w:lang w:val="en-GB"/>
        </w:rPr>
        <w:t>w</w:t>
      </w:r>
      <w:r w:rsidR="00912B36" w:rsidRPr="008728D2">
        <w:rPr>
          <w:rFonts w:ascii="Times New Roman" w:hAnsi="Times New Roman"/>
          <w:bCs/>
          <w:lang w:val="en-GB"/>
        </w:rPr>
        <w:t>orldwide_production_capacities_2011-2020</w:t>
      </w:r>
      <w:r w:rsidR="00941366">
        <w:rPr>
          <w:rFonts w:ascii="Times New Roman" w:hAnsi="Times New Roman"/>
          <w:bCs/>
          <w:lang w:val="en-GB"/>
        </w:rPr>
        <w:t>.jpg</w:t>
      </w:r>
      <w:r w:rsidR="00D22EDF">
        <w:rPr>
          <w:rFonts w:ascii="Times New Roman" w:hAnsi="Times New Roman"/>
          <w:bCs/>
          <w:lang w:val="en-GB"/>
        </w:rPr>
        <w:t xml:space="preserve"> (source: </w:t>
      </w:r>
      <w:proofErr w:type="gramStart"/>
      <w:r w:rsidR="00D22EDF">
        <w:rPr>
          <w:rFonts w:ascii="Times New Roman" w:hAnsi="Times New Roman"/>
          <w:bCs/>
          <w:lang w:val="en-GB"/>
        </w:rPr>
        <w:t>nova</w:t>
      </w:r>
      <w:proofErr w:type="gramEnd"/>
      <w:r w:rsidR="00D22EDF">
        <w:rPr>
          <w:rFonts w:ascii="Times New Roman" w:hAnsi="Times New Roman"/>
          <w:bCs/>
          <w:lang w:val="en-GB"/>
        </w:rPr>
        <w:t>-Institut</w:t>
      </w:r>
      <w:r w:rsidR="00671E62">
        <w:rPr>
          <w:rFonts w:ascii="Times New Roman" w:hAnsi="Times New Roman"/>
          <w:bCs/>
          <w:lang w:val="en-GB"/>
        </w:rPr>
        <w:t>e)</w:t>
      </w:r>
    </w:p>
    <w:p w14:paraId="7164ABD7" w14:textId="3F50259B" w:rsidR="00912B36" w:rsidRDefault="00912B36" w:rsidP="00912B36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398C6296" w14:textId="77777777" w:rsidR="006C2DA4" w:rsidRPr="006C2DA4" w:rsidRDefault="006C2DA4" w:rsidP="009B4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14:paraId="2A7BFB00" w14:textId="7158E70B" w:rsidR="009B4C5D" w:rsidRPr="006C2DA4" w:rsidRDefault="009B4C5D" w:rsidP="009B4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bookmarkStart w:id="53" w:name="OLE_LINK55"/>
      <w:bookmarkStart w:id="54" w:name="OLE_LINK56"/>
      <w:r w:rsidRPr="006C2DA4">
        <w:rPr>
          <w:rFonts w:ascii="Times New Roman" w:hAnsi="Times New Roman"/>
          <w:b/>
          <w:lang w:val="en-GB"/>
        </w:rPr>
        <w:t>Contact</w:t>
      </w:r>
      <w:r w:rsidRPr="006C2DA4">
        <w:rPr>
          <w:rFonts w:ascii="Times New Roman" w:hAnsi="Times New Roman"/>
          <w:lang w:val="en-GB"/>
        </w:rPr>
        <w:t xml:space="preserve">: </w:t>
      </w:r>
    </w:p>
    <w:p w14:paraId="02826B1E" w14:textId="77777777" w:rsidR="00EB2062" w:rsidRPr="006C2DA4" w:rsidRDefault="00EB2062" w:rsidP="0093710A">
      <w:pPr>
        <w:jc w:val="both"/>
        <w:outlineLvl w:val="0"/>
        <w:rPr>
          <w:rFonts w:ascii="Times New Roman" w:hAnsi="Times New Roman"/>
          <w:b/>
          <w:szCs w:val="24"/>
          <w:lang w:val="en-GB"/>
        </w:rPr>
      </w:pPr>
      <w:r w:rsidRPr="006C2DA4">
        <w:rPr>
          <w:rFonts w:ascii="Times New Roman" w:hAnsi="Times New Roman"/>
          <w:b/>
          <w:bCs/>
          <w:szCs w:val="24"/>
          <w:lang w:val="en-GB"/>
        </w:rPr>
        <w:t>Dipl.-</w:t>
      </w:r>
      <w:proofErr w:type="spellStart"/>
      <w:r w:rsidRPr="006C2DA4">
        <w:rPr>
          <w:rFonts w:ascii="Times New Roman" w:hAnsi="Times New Roman"/>
          <w:b/>
          <w:bCs/>
          <w:szCs w:val="24"/>
          <w:lang w:val="en-GB"/>
        </w:rPr>
        <w:t>Ing</w:t>
      </w:r>
      <w:proofErr w:type="spellEnd"/>
      <w:r w:rsidRPr="006C2DA4">
        <w:rPr>
          <w:rFonts w:ascii="Times New Roman" w:hAnsi="Times New Roman"/>
          <w:b/>
          <w:bCs/>
          <w:szCs w:val="24"/>
          <w:lang w:val="en-GB"/>
        </w:rPr>
        <w:t>.  Florence Aeschelmann</w:t>
      </w:r>
    </w:p>
    <w:p w14:paraId="60541C03" w14:textId="21DD5BB6" w:rsidR="00EB2062" w:rsidRPr="006C2DA4" w:rsidRDefault="002C0174" w:rsidP="0093710A">
      <w:pPr>
        <w:jc w:val="both"/>
        <w:outlineLvl w:val="0"/>
        <w:rPr>
          <w:rFonts w:ascii="Times New Roman" w:hAnsi="Times New Roman"/>
          <w:szCs w:val="24"/>
          <w:lang w:val="en-GB"/>
        </w:rPr>
      </w:pPr>
      <w:r w:rsidRPr="006C2DA4">
        <w:rPr>
          <w:rFonts w:ascii="Times New Roman" w:hAnsi="Times New Roman"/>
          <w:szCs w:val="24"/>
          <w:lang w:val="en-GB"/>
        </w:rPr>
        <w:t>Phone:</w:t>
      </w:r>
      <w:r w:rsidR="00EB2062" w:rsidRPr="006C2DA4">
        <w:rPr>
          <w:rFonts w:ascii="Times New Roman" w:hAnsi="Times New Roman"/>
          <w:szCs w:val="24"/>
          <w:lang w:val="en-GB"/>
        </w:rPr>
        <w:t xml:space="preserve"> +49 (0)</w:t>
      </w:r>
      <w:r w:rsidR="006C2DA4" w:rsidRPr="006C2DA4">
        <w:rPr>
          <w:rFonts w:ascii="Times New Roman" w:hAnsi="Times New Roman"/>
          <w:szCs w:val="24"/>
          <w:lang w:val="en-GB"/>
        </w:rPr>
        <w:t xml:space="preserve"> </w:t>
      </w:r>
      <w:r w:rsidR="00EB2062" w:rsidRPr="006C2DA4">
        <w:rPr>
          <w:rFonts w:ascii="Times New Roman" w:hAnsi="Times New Roman"/>
          <w:szCs w:val="24"/>
          <w:lang w:val="en-GB"/>
        </w:rPr>
        <w:t>22</w:t>
      </w:r>
      <w:r w:rsidR="006C2DA4" w:rsidRPr="006C2DA4">
        <w:rPr>
          <w:rFonts w:ascii="Times New Roman" w:hAnsi="Times New Roman"/>
          <w:szCs w:val="24"/>
          <w:lang w:val="en-GB"/>
        </w:rPr>
        <w:t xml:space="preserve"> </w:t>
      </w:r>
      <w:r w:rsidR="00EB2062" w:rsidRPr="006C2DA4">
        <w:rPr>
          <w:rFonts w:ascii="Times New Roman" w:hAnsi="Times New Roman"/>
          <w:szCs w:val="24"/>
          <w:lang w:val="en-GB"/>
        </w:rPr>
        <w:t>33-48</w:t>
      </w:r>
      <w:r w:rsidR="006C2DA4" w:rsidRPr="006C2DA4">
        <w:rPr>
          <w:rFonts w:ascii="Times New Roman" w:hAnsi="Times New Roman"/>
          <w:szCs w:val="24"/>
          <w:lang w:val="en-GB"/>
        </w:rPr>
        <w:t xml:space="preserve"> </w:t>
      </w:r>
      <w:r w:rsidR="00EB2062" w:rsidRPr="006C2DA4">
        <w:rPr>
          <w:rFonts w:ascii="Times New Roman" w:hAnsi="Times New Roman"/>
          <w:szCs w:val="24"/>
          <w:lang w:val="en-GB"/>
        </w:rPr>
        <w:t>14-48</w:t>
      </w:r>
    </w:p>
    <w:p w14:paraId="0A58E4BB" w14:textId="77777777" w:rsidR="00EB2062" w:rsidRPr="006C2DA4" w:rsidRDefault="00235EE4" w:rsidP="009B4C5D">
      <w:pPr>
        <w:jc w:val="both"/>
        <w:rPr>
          <w:rFonts w:ascii="Times New Roman" w:hAnsi="Times New Roman"/>
          <w:szCs w:val="24"/>
          <w:lang w:val="en-GB"/>
        </w:rPr>
      </w:pPr>
      <w:hyperlink r:id="rId14" w:history="1">
        <w:r w:rsidR="00EB2062" w:rsidRPr="006C2DA4">
          <w:rPr>
            <w:rStyle w:val="Link"/>
            <w:rFonts w:ascii="Times New Roman" w:hAnsi="Times New Roman"/>
            <w:szCs w:val="24"/>
            <w:lang w:val="en-GB"/>
          </w:rPr>
          <w:t>florence.aeschelmann@nova-institut.de</w:t>
        </w:r>
      </w:hyperlink>
    </w:p>
    <w:p w14:paraId="1A15F47D" w14:textId="77777777" w:rsidR="00A815EF" w:rsidRPr="006C2DA4" w:rsidRDefault="00A815EF" w:rsidP="009B4C5D">
      <w:pPr>
        <w:jc w:val="both"/>
        <w:rPr>
          <w:rFonts w:ascii="Times New Roman" w:hAnsi="Times New Roman"/>
          <w:szCs w:val="24"/>
          <w:lang w:val="en-GB"/>
        </w:rPr>
      </w:pPr>
    </w:p>
    <w:bookmarkEnd w:id="53"/>
    <w:bookmarkEnd w:id="54"/>
    <w:p w14:paraId="2506BF9A" w14:textId="77777777" w:rsidR="003F4803" w:rsidRPr="006C2DA4" w:rsidRDefault="003F4803" w:rsidP="009B4C5D">
      <w:pPr>
        <w:jc w:val="both"/>
        <w:rPr>
          <w:rFonts w:ascii="Times New Roman" w:hAnsi="Times New Roman"/>
          <w:szCs w:val="24"/>
          <w:lang w:val="en-GB"/>
        </w:rPr>
      </w:pPr>
    </w:p>
    <w:p w14:paraId="05CF14EF" w14:textId="77777777" w:rsidR="00340769" w:rsidRPr="006C2DA4" w:rsidRDefault="00340769" w:rsidP="009B4C5D">
      <w:pPr>
        <w:rPr>
          <w:rFonts w:ascii="Times New Roman" w:hAnsi="Times New Roman"/>
          <w:lang w:val="en-GB"/>
        </w:rPr>
      </w:pPr>
      <w:r w:rsidRPr="006C2DA4">
        <w:rPr>
          <w:rFonts w:ascii="Times New Roman" w:hAnsi="Times New Roman"/>
          <w:b/>
          <w:szCs w:val="24"/>
          <w:lang w:val="en-GB"/>
        </w:rPr>
        <w:t>Responsible under press legislation (</w:t>
      </w:r>
      <w:proofErr w:type="spellStart"/>
      <w:r w:rsidRPr="006C2DA4">
        <w:rPr>
          <w:rFonts w:ascii="Times New Roman" w:hAnsi="Times New Roman"/>
          <w:b/>
          <w:szCs w:val="24"/>
          <w:lang w:val="en-GB"/>
        </w:rPr>
        <w:t>V.i.S.d.P</w:t>
      </w:r>
      <w:proofErr w:type="spellEnd"/>
      <w:r w:rsidRPr="006C2DA4">
        <w:rPr>
          <w:rFonts w:ascii="Times New Roman" w:hAnsi="Times New Roman"/>
          <w:b/>
          <w:szCs w:val="24"/>
          <w:lang w:val="en-GB"/>
        </w:rPr>
        <w:t>.):</w:t>
      </w:r>
      <w:r w:rsidRPr="006C2DA4">
        <w:rPr>
          <w:rFonts w:ascii="Times New Roman" w:hAnsi="Times New Roman"/>
          <w:szCs w:val="24"/>
          <w:lang w:val="en-GB"/>
        </w:rPr>
        <w:br/>
      </w:r>
      <w:r w:rsidRPr="006C2DA4">
        <w:rPr>
          <w:rFonts w:ascii="Times New Roman" w:hAnsi="Times New Roman"/>
          <w:lang w:val="en-GB"/>
        </w:rPr>
        <w:t xml:space="preserve">Dipl.-Phys. Michael </w:t>
      </w:r>
      <w:proofErr w:type="spellStart"/>
      <w:r w:rsidRPr="006C2DA4">
        <w:rPr>
          <w:rFonts w:ascii="Times New Roman" w:hAnsi="Times New Roman"/>
          <w:lang w:val="en-GB"/>
        </w:rPr>
        <w:t>Carus</w:t>
      </w:r>
      <w:proofErr w:type="spellEnd"/>
      <w:r w:rsidRPr="006C2DA4">
        <w:rPr>
          <w:rFonts w:ascii="Times New Roman" w:hAnsi="Times New Roman"/>
          <w:lang w:val="en-GB"/>
        </w:rPr>
        <w:t xml:space="preserve"> (Managing Director)</w:t>
      </w:r>
    </w:p>
    <w:p w14:paraId="7462C959" w14:textId="533E1C99" w:rsidR="00340769" w:rsidRPr="006C2DA4" w:rsidRDefault="00340769" w:rsidP="009B4C5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6C2DA4">
        <w:rPr>
          <w:rFonts w:ascii="Times New Roman" w:hAnsi="Times New Roman"/>
          <w:lang w:val="en-GB"/>
        </w:rPr>
        <w:t>nova-</w:t>
      </w:r>
      <w:proofErr w:type="spellStart"/>
      <w:r w:rsidRPr="006C2DA4">
        <w:rPr>
          <w:rFonts w:ascii="Times New Roman" w:hAnsi="Times New Roman"/>
          <w:lang w:val="en-GB"/>
        </w:rPr>
        <w:t>Institut</w:t>
      </w:r>
      <w:proofErr w:type="spellEnd"/>
      <w:r w:rsidRPr="006C2DA4">
        <w:rPr>
          <w:rFonts w:ascii="Times New Roman" w:hAnsi="Times New Roman"/>
          <w:lang w:val="en-GB"/>
        </w:rPr>
        <w:t xml:space="preserve"> GmbH, </w:t>
      </w:r>
      <w:proofErr w:type="spellStart"/>
      <w:r w:rsidRPr="006C2DA4">
        <w:rPr>
          <w:rFonts w:ascii="Times New Roman" w:hAnsi="Times New Roman"/>
          <w:lang w:val="en-GB"/>
        </w:rPr>
        <w:t>Chemiepark</w:t>
      </w:r>
      <w:proofErr w:type="spellEnd"/>
      <w:r w:rsidRPr="006C2DA4">
        <w:rPr>
          <w:rFonts w:ascii="Times New Roman" w:hAnsi="Times New Roman"/>
          <w:lang w:val="en-GB"/>
        </w:rPr>
        <w:t xml:space="preserve"> Knapsack, </w:t>
      </w:r>
      <w:proofErr w:type="spellStart"/>
      <w:r w:rsidRPr="006C2DA4">
        <w:rPr>
          <w:rFonts w:ascii="Times New Roman" w:hAnsi="Times New Roman"/>
          <w:lang w:val="en-GB"/>
        </w:rPr>
        <w:t>Industriestra</w:t>
      </w:r>
      <w:r w:rsidR="005511AD" w:rsidRPr="006C2DA4">
        <w:rPr>
          <w:rFonts w:ascii="Times New Roman" w:hAnsi="Times New Roman"/>
          <w:lang w:val="en-GB"/>
        </w:rPr>
        <w:t>ß</w:t>
      </w:r>
      <w:r w:rsidR="007F37A6" w:rsidRPr="006C2DA4">
        <w:rPr>
          <w:rFonts w:ascii="Times New Roman" w:hAnsi="Times New Roman"/>
          <w:lang w:val="en-GB"/>
        </w:rPr>
        <w:t>e</w:t>
      </w:r>
      <w:proofErr w:type="spellEnd"/>
      <w:r w:rsidR="007F37A6" w:rsidRPr="006C2DA4">
        <w:rPr>
          <w:rFonts w:ascii="Times New Roman" w:hAnsi="Times New Roman"/>
          <w:lang w:val="en-GB"/>
        </w:rPr>
        <w:t xml:space="preserve"> 300, DE-50354 </w:t>
      </w:r>
      <w:proofErr w:type="spellStart"/>
      <w:r w:rsidR="00C244FB" w:rsidRPr="006C2DA4">
        <w:rPr>
          <w:rFonts w:ascii="Times New Roman" w:hAnsi="Times New Roman"/>
          <w:lang w:val="en-GB"/>
        </w:rPr>
        <w:t>Hürth</w:t>
      </w:r>
      <w:proofErr w:type="spellEnd"/>
      <w:r w:rsidR="00C244FB" w:rsidRPr="006C2DA4">
        <w:rPr>
          <w:rFonts w:ascii="Times New Roman" w:hAnsi="Times New Roman"/>
          <w:lang w:val="en-GB"/>
        </w:rPr>
        <w:t xml:space="preserve"> </w:t>
      </w:r>
      <w:r w:rsidRPr="006C2DA4">
        <w:rPr>
          <w:rFonts w:ascii="Times New Roman" w:hAnsi="Times New Roman"/>
          <w:lang w:val="en-GB"/>
        </w:rPr>
        <w:t>(Germany)</w:t>
      </w:r>
    </w:p>
    <w:p w14:paraId="7969BE08" w14:textId="77777777" w:rsidR="003F4803" w:rsidRPr="006C2DA4" w:rsidRDefault="003F4803" w:rsidP="009B4C5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bookmarkEnd w:id="20"/>
    <w:bookmarkEnd w:id="21"/>
    <w:p w14:paraId="0CD341D6" w14:textId="11BC8172" w:rsidR="00340769" w:rsidRPr="006C2DA4" w:rsidRDefault="00340769" w:rsidP="0093710A">
      <w:pPr>
        <w:widowControl w:val="0"/>
        <w:autoSpaceDE w:val="0"/>
        <w:autoSpaceDN w:val="0"/>
        <w:adjustRightInd w:val="0"/>
        <w:ind w:left="-708" w:firstLine="708"/>
        <w:outlineLvl w:val="0"/>
        <w:rPr>
          <w:rFonts w:ascii="Times New Roman" w:hAnsi="Times New Roman"/>
          <w:lang w:val="en-GB"/>
        </w:rPr>
      </w:pPr>
      <w:r w:rsidRPr="006C2DA4">
        <w:rPr>
          <w:rFonts w:ascii="Times New Roman" w:hAnsi="Times New Roman"/>
          <w:lang w:val="en-GB"/>
        </w:rPr>
        <w:t xml:space="preserve">Internet: </w:t>
      </w:r>
      <w:hyperlink r:id="rId15" w:history="1">
        <w:r w:rsidR="004B7D2D" w:rsidRPr="006C2DA4">
          <w:rPr>
            <w:rStyle w:val="Link"/>
            <w:rFonts w:ascii="Times New Roman" w:hAnsi="Times New Roman"/>
            <w:lang w:val="en-GB"/>
          </w:rPr>
          <w:t>www.nova-institute.eu</w:t>
        </w:r>
      </w:hyperlink>
      <w:r w:rsidRPr="006C2DA4">
        <w:rPr>
          <w:rFonts w:ascii="Times New Roman" w:hAnsi="Times New Roman"/>
          <w:lang w:val="en-GB"/>
        </w:rPr>
        <w:t xml:space="preserve"> </w:t>
      </w:r>
      <w:r w:rsidR="00671E62">
        <w:rPr>
          <w:rFonts w:ascii="Times New Roman" w:hAnsi="Times New Roman"/>
          <w:lang w:val="en-GB"/>
        </w:rPr>
        <w:t>– all services and studies at</w:t>
      </w:r>
      <w:r w:rsidRPr="006C2DA4">
        <w:rPr>
          <w:rFonts w:ascii="Times New Roman" w:hAnsi="Times New Roman"/>
          <w:lang w:val="en-GB"/>
        </w:rPr>
        <w:t xml:space="preserve"> </w:t>
      </w:r>
      <w:hyperlink r:id="rId16" w:history="1">
        <w:r w:rsidRPr="006C2DA4">
          <w:rPr>
            <w:rFonts w:ascii="Times New Roman" w:hAnsi="Times New Roman"/>
            <w:color w:val="0000FF"/>
            <w:u w:val="single"/>
            <w:lang w:val="en-GB"/>
          </w:rPr>
          <w:t>www.bio-based.eu</w:t>
        </w:r>
      </w:hyperlink>
    </w:p>
    <w:p w14:paraId="1F9174CD" w14:textId="77777777" w:rsidR="00340769" w:rsidRPr="006C2DA4" w:rsidRDefault="00340769" w:rsidP="0093710A">
      <w:pPr>
        <w:widowControl w:val="0"/>
        <w:autoSpaceDE w:val="0"/>
        <w:autoSpaceDN w:val="0"/>
        <w:adjustRightInd w:val="0"/>
        <w:ind w:left="-708" w:firstLine="708"/>
        <w:outlineLvl w:val="0"/>
        <w:rPr>
          <w:rFonts w:ascii="Times New Roman" w:hAnsi="Times New Roman"/>
          <w:lang w:val="en-GB"/>
        </w:rPr>
      </w:pPr>
      <w:r w:rsidRPr="006C2DA4">
        <w:rPr>
          <w:rFonts w:ascii="Times New Roman" w:hAnsi="Times New Roman"/>
          <w:lang w:val="en-GB"/>
        </w:rPr>
        <w:t xml:space="preserve">Email: </w:t>
      </w:r>
      <w:hyperlink r:id="rId17" w:history="1">
        <w:r w:rsidRPr="006C2DA4">
          <w:rPr>
            <w:rFonts w:ascii="Times New Roman" w:hAnsi="Times New Roman"/>
            <w:color w:val="0000FF"/>
            <w:u w:val="single"/>
            <w:lang w:val="en-GB"/>
          </w:rPr>
          <w:t>contact@nova-institut.de</w:t>
        </w:r>
      </w:hyperlink>
    </w:p>
    <w:p w14:paraId="2A3AAFF2" w14:textId="34152ED6" w:rsidR="002B5D82" w:rsidRPr="006C2DA4" w:rsidRDefault="00A225A3" w:rsidP="0093710A">
      <w:pPr>
        <w:widowControl w:val="0"/>
        <w:autoSpaceDE w:val="0"/>
        <w:autoSpaceDN w:val="0"/>
        <w:adjustRightInd w:val="0"/>
        <w:ind w:left="-708" w:firstLine="708"/>
        <w:outlineLvl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Phone: +49 (0) 22 33-48 14-</w:t>
      </w:r>
      <w:r w:rsidR="00340769" w:rsidRPr="006C2DA4">
        <w:rPr>
          <w:rFonts w:ascii="Times New Roman" w:hAnsi="Times New Roman"/>
          <w:lang w:val="en-GB"/>
        </w:rPr>
        <w:t>40</w:t>
      </w:r>
    </w:p>
    <w:p w14:paraId="287C97BB" w14:textId="77777777" w:rsidR="00166393" w:rsidRPr="006C2DA4" w:rsidRDefault="00166393" w:rsidP="009B4C5D">
      <w:pPr>
        <w:widowControl w:val="0"/>
        <w:autoSpaceDE w:val="0"/>
        <w:autoSpaceDN w:val="0"/>
        <w:adjustRightInd w:val="0"/>
        <w:ind w:left="-708" w:firstLine="708"/>
        <w:jc w:val="both"/>
        <w:rPr>
          <w:rFonts w:ascii="Times New Roman" w:hAnsi="Times New Roman"/>
          <w:lang w:val="en-GB"/>
        </w:rPr>
      </w:pPr>
    </w:p>
    <w:p w14:paraId="4ED598FB" w14:textId="7FDFE885" w:rsidR="00166393" w:rsidRPr="006C2DA4" w:rsidRDefault="00166393" w:rsidP="009B4C5D">
      <w:pPr>
        <w:jc w:val="both"/>
        <w:rPr>
          <w:rFonts w:ascii="Times New Roman" w:eastAsia="MS Mincho" w:hAnsi="Times New Roman"/>
          <w:lang w:val="en-GB" w:eastAsia="de-DE"/>
        </w:rPr>
      </w:pPr>
      <w:proofErr w:type="gramStart"/>
      <w:r w:rsidRPr="006C2DA4">
        <w:rPr>
          <w:rFonts w:ascii="Times New Roman" w:hAnsi="Times New Roman"/>
          <w:lang w:val="en-GB"/>
        </w:rPr>
        <w:t>nova</w:t>
      </w:r>
      <w:proofErr w:type="gramEnd"/>
      <w:r w:rsidRPr="006C2DA4">
        <w:rPr>
          <w:rFonts w:ascii="Times New Roman" w:hAnsi="Times New Roman"/>
          <w:lang w:val="en-GB"/>
        </w:rPr>
        <w:t>-Institute is a private and independent institute, founded in 1994; nova offers research and consultancy with a focus on bio-based and CO</w:t>
      </w:r>
      <w:r w:rsidRPr="006C2DA4">
        <w:rPr>
          <w:rFonts w:ascii="Times New Roman" w:hAnsi="Times New Roman"/>
          <w:vertAlign w:val="subscript"/>
          <w:lang w:val="en-GB"/>
        </w:rPr>
        <w:t>2</w:t>
      </w:r>
      <w:r w:rsidRPr="006C2DA4">
        <w:rPr>
          <w:rFonts w:ascii="Times New Roman" w:hAnsi="Times New Roman"/>
          <w:lang w:val="en-GB"/>
        </w:rPr>
        <w:t xml:space="preserve">-based economy in the fields of feedstock, techno-economic evaluation, markets, LCA, dissemination, B2B communication and policy. Today, </w:t>
      </w:r>
      <w:proofErr w:type="gramStart"/>
      <w:r w:rsidRPr="006C2DA4">
        <w:rPr>
          <w:rFonts w:ascii="Times New Roman" w:hAnsi="Times New Roman"/>
          <w:lang w:val="en-GB"/>
        </w:rPr>
        <w:t>nova</w:t>
      </w:r>
      <w:proofErr w:type="gramEnd"/>
      <w:r w:rsidRPr="006C2DA4">
        <w:rPr>
          <w:rFonts w:ascii="Times New Roman" w:hAnsi="Times New Roman"/>
          <w:lang w:val="en-GB"/>
        </w:rPr>
        <w:t>-Institute has 2</w:t>
      </w:r>
      <w:r w:rsidR="00967C63" w:rsidRPr="006C2DA4">
        <w:rPr>
          <w:rFonts w:ascii="Times New Roman" w:hAnsi="Times New Roman"/>
          <w:lang w:val="en-GB"/>
        </w:rPr>
        <w:t>5</w:t>
      </w:r>
      <w:r w:rsidRPr="006C2DA4">
        <w:rPr>
          <w:rFonts w:ascii="Times New Roman" w:hAnsi="Times New Roman"/>
          <w:lang w:val="en-GB"/>
        </w:rPr>
        <w:t xml:space="preserve"> employees and an annual turnover of </w:t>
      </w:r>
      <w:r w:rsidR="00E73735" w:rsidRPr="006C2DA4">
        <w:rPr>
          <w:rFonts w:ascii="Times New Roman" w:hAnsi="Times New Roman"/>
          <w:lang w:val="en-GB"/>
        </w:rPr>
        <w:t>more than</w:t>
      </w:r>
      <w:r w:rsidRPr="006C2DA4">
        <w:rPr>
          <w:rFonts w:ascii="Times New Roman" w:hAnsi="Times New Roman"/>
          <w:lang w:val="en-GB"/>
        </w:rPr>
        <w:t xml:space="preserve"> 2 </w:t>
      </w:r>
      <w:r w:rsidR="00C244FB" w:rsidRPr="006C2DA4">
        <w:rPr>
          <w:rFonts w:ascii="Times New Roman" w:hAnsi="Times New Roman"/>
          <w:lang w:val="en-GB"/>
        </w:rPr>
        <w:t>million</w:t>
      </w:r>
      <w:r w:rsidR="003F4803" w:rsidRPr="006C2DA4">
        <w:rPr>
          <w:rFonts w:ascii="Times New Roman" w:hAnsi="Times New Roman"/>
          <w:lang w:val="en-GB"/>
        </w:rPr>
        <w:t xml:space="preserve"> €</w:t>
      </w:r>
      <w:r w:rsidRPr="006C2DA4">
        <w:rPr>
          <w:rFonts w:ascii="Times New Roman" w:hAnsi="Times New Roman"/>
          <w:lang w:val="en-GB"/>
        </w:rPr>
        <w:t>.</w:t>
      </w:r>
    </w:p>
    <w:sectPr w:rsidR="00166393" w:rsidRPr="006C2DA4" w:rsidSect="00467E5F">
      <w:footerReference w:type="even" r:id="rId18"/>
      <w:footerReference w:type="default" r:id="rId1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3C6F" w14:textId="77777777" w:rsidR="00235EE4" w:rsidRDefault="00235EE4">
      <w:r>
        <w:separator/>
      </w:r>
    </w:p>
  </w:endnote>
  <w:endnote w:type="continuationSeparator" w:id="0">
    <w:p w14:paraId="33B19CEE" w14:textId="77777777" w:rsidR="00235EE4" w:rsidRDefault="0023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0CFC" w14:textId="77777777" w:rsidR="00D17118" w:rsidRDefault="00D17118" w:rsidP="00B739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01F14B" w14:textId="77777777" w:rsidR="00D17118" w:rsidRDefault="00D17118" w:rsidP="00467E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C66A" w14:textId="77777777" w:rsidR="00D17118" w:rsidRPr="00B739C6" w:rsidRDefault="00D17118" w:rsidP="0025384E">
    <w:pPr>
      <w:pStyle w:val="Fuzeile"/>
      <w:framePr w:wrap="around" w:vAnchor="text" w:hAnchor="margin" w:xAlign="center" w:y="1"/>
      <w:rPr>
        <w:rStyle w:val="Seitenzahl"/>
        <w:rFonts w:ascii="Times" w:hAnsi="Times" w:cs="Arial"/>
      </w:rPr>
    </w:pPr>
    <w:r>
      <w:rPr>
        <w:rStyle w:val="Seitenzahl"/>
      </w:rPr>
      <w:t>-</w:t>
    </w:r>
    <w:r w:rsidRPr="00B739C6">
      <w:rPr>
        <w:rStyle w:val="Seitenzahl"/>
        <w:rFonts w:ascii="Times" w:hAnsi="Times" w:cs="Arial"/>
      </w:rPr>
      <w:fldChar w:fldCharType="begin"/>
    </w:r>
    <w:r w:rsidRPr="00B739C6">
      <w:rPr>
        <w:rStyle w:val="Seitenzahl"/>
        <w:rFonts w:ascii="Times" w:hAnsi="Times" w:cs="Arial"/>
      </w:rPr>
      <w:instrText xml:space="preserve">PAGE  </w:instrText>
    </w:r>
    <w:r w:rsidRPr="00B739C6">
      <w:rPr>
        <w:rStyle w:val="Seitenzahl"/>
        <w:rFonts w:ascii="Times" w:hAnsi="Times" w:cs="Arial"/>
      </w:rPr>
      <w:fldChar w:fldCharType="separate"/>
    </w:r>
    <w:r w:rsidR="0093710A">
      <w:rPr>
        <w:rStyle w:val="Seitenzahl"/>
        <w:rFonts w:ascii="Times" w:hAnsi="Times" w:cs="Arial"/>
        <w:noProof/>
      </w:rPr>
      <w:t>4</w:t>
    </w:r>
    <w:r w:rsidRPr="00B739C6">
      <w:rPr>
        <w:rStyle w:val="Seitenzahl"/>
        <w:rFonts w:ascii="Times" w:hAnsi="Times" w:cs="Arial"/>
      </w:rPr>
      <w:fldChar w:fldCharType="end"/>
    </w:r>
    <w:r w:rsidRPr="00B739C6">
      <w:rPr>
        <w:rStyle w:val="Seitenzahl"/>
        <w:rFonts w:ascii="Times" w:hAnsi="Times" w:cs="Arial"/>
      </w:rPr>
      <w:t>-</w:t>
    </w:r>
  </w:p>
  <w:p w14:paraId="17739CB6" w14:textId="77777777" w:rsidR="00D17118" w:rsidRDefault="00D17118" w:rsidP="007A2EE5">
    <w:pPr>
      <w:pStyle w:val="Fuzeile"/>
      <w:tabs>
        <w:tab w:val="clear" w:pos="4536"/>
        <w:tab w:val="clear" w:pos="9072"/>
        <w:tab w:val="left" w:pos="5245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1FE4" w14:textId="77777777" w:rsidR="00235EE4" w:rsidRDefault="00235EE4">
      <w:r>
        <w:separator/>
      </w:r>
    </w:p>
  </w:footnote>
  <w:footnote w:type="continuationSeparator" w:id="0">
    <w:p w14:paraId="6ED64E52" w14:textId="77777777" w:rsidR="00235EE4" w:rsidRDefault="00235EE4">
      <w:r>
        <w:continuationSeparator/>
      </w:r>
    </w:p>
  </w:footnote>
  <w:footnote w:id="1">
    <w:p w14:paraId="44036F0E" w14:textId="6002FFA6" w:rsidR="004D7B71" w:rsidRPr="00085F97" w:rsidRDefault="004D7B71" w:rsidP="004D7B71">
      <w:pPr>
        <w:pStyle w:val="EinfAbs"/>
        <w:jc w:val="both"/>
        <w:rPr>
          <w:rFonts w:ascii="Times" w:hAnsi="Times" w:cs="Times New Roman"/>
          <w:sz w:val="20"/>
          <w:szCs w:val="20"/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085F97">
        <w:rPr>
          <w:rFonts w:ascii="Times" w:hAnsi="Times" w:cs="Times New Roman"/>
          <w:sz w:val="20"/>
          <w:szCs w:val="20"/>
          <w:lang w:val="en-GB"/>
        </w:rPr>
        <w:t xml:space="preserve">Market data graphics </w:t>
      </w:r>
      <w:r w:rsidR="00D1578B">
        <w:rPr>
          <w:rFonts w:ascii="Times" w:hAnsi="Times" w:cs="Times New Roman"/>
          <w:sz w:val="20"/>
          <w:szCs w:val="20"/>
          <w:lang w:val="en-GB"/>
        </w:rPr>
        <w:t xml:space="preserve">from European </w:t>
      </w:r>
      <w:proofErr w:type="spellStart"/>
      <w:r w:rsidR="00D1578B">
        <w:rPr>
          <w:rFonts w:ascii="Times" w:hAnsi="Times" w:cs="Times New Roman"/>
          <w:sz w:val="20"/>
          <w:szCs w:val="20"/>
          <w:lang w:val="en-GB"/>
        </w:rPr>
        <w:t>Bioplastics</w:t>
      </w:r>
      <w:proofErr w:type="spellEnd"/>
      <w:r w:rsidR="00D1578B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085F97">
        <w:rPr>
          <w:rFonts w:ascii="Times" w:hAnsi="Times" w:cs="Times New Roman"/>
          <w:sz w:val="20"/>
          <w:szCs w:val="20"/>
          <w:lang w:val="en-GB"/>
        </w:rPr>
        <w:t>are available for download in English and German:</w:t>
      </w:r>
    </w:p>
    <w:p w14:paraId="72335357" w14:textId="52C8488C" w:rsidR="004D7B71" w:rsidRDefault="00235EE4" w:rsidP="004D7B71">
      <w:pPr>
        <w:pStyle w:val="Funotentext"/>
      </w:pPr>
      <w:hyperlink r:id="rId1" w:history="1">
        <w:r w:rsidR="004D7B71" w:rsidRPr="00085F97">
          <w:rPr>
            <w:rStyle w:val="Link"/>
            <w:rFonts w:ascii="Times" w:hAnsi="Times"/>
            <w:sz w:val="20"/>
            <w:szCs w:val="20"/>
            <w:lang w:val="en-GB"/>
          </w:rPr>
          <w:t>http://en.european-bioplastics.org/press/press-pictures/labelling-logos-charts/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375B"/>
    <w:multiLevelType w:val="hybridMultilevel"/>
    <w:tmpl w:val="9CDE9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85F6F"/>
    <w:multiLevelType w:val="hybridMultilevel"/>
    <w:tmpl w:val="C1209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21"/>
  </w:num>
  <w:num w:numId="5">
    <w:abstractNumId w:val="18"/>
  </w:num>
  <w:num w:numId="6">
    <w:abstractNumId w:val="16"/>
  </w:num>
  <w:num w:numId="7">
    <w:abstractNumId w:val="12"/>
  </w:num>
  <w:num w:numId="8">
    <w:abstractNumId w:val="23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4"/>
  </w:num>
  <w:num w:numId="16">
    <w:abstractNumId w:val="22"/>
  </w:num>
  <w:num w:numId="17">
    <w:abstractNumId w:val="4"/>
  </w:num>
  <w:num w:numId="18">
    <w:abstractNumId w:val="10"/>
  </w:num>
  <w:num w:numId="19">
    <w:abstractNumId w:val="17"/>
  </w:num>
  <w:num w:numId="20">
    <w:abstractNumId w:val="5"/>
  </w:num>
  <w:num w:numId="21">
    <w:abstractNumId w:val="25"/>
  </w:num>
  <w:num w:numId="22">
    <w:abstractNumId w:val="13"/>
  </w:num>
  <w:num w:numId="23">
    <w:abstractNumId w:val="9"/>
  </w:num>
  <w:num w:numId="24">
    <w:abstractNumId w:val="26"/>
  </w:num>
  <w:num w:numId="25">
    <w:abstractNumId w:val="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A"/>
    <w:rsid w:val="00002015"/>
    <w:rsid w:val="000020F4"/>
    <w:rsid w:val="00004559"/>
    <w:rsid w:val="00004715"/>
    <w:rsid w:val="000104BA"/>
    <w:rsid w:val="000151A4"/>
    <w:rsid w:val="000173D5"/>
    <w:rsid w:val="0001749D"/>
    <w:rsid w:val="000223D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567A0"/>
    <w:rsid w:val="00056E2C"/>
    <w:rsid w:val="000642B1"/>
    <w:rsid w:val="00064442"/>
    <w:rsid w:val="000648A2"/>
    <w:rsid w:val="00072F78"/>
    <w:rsid w:val="00073D44"/>
    <w:rsid w:val="00074083"/>
    <w:rsid w:val="00074F39"/>
    <w:rsid w:val="00074FFA"/>
    <w:rsid w:val="0007633F"/>
    <w:rsid w:val="00076B31"/>
    <w:rsid w:val="00080D24"/>
    <w:rsid w:val="00081860"/>
    <w:rsid w:val="000842E1"/>
    <w:rsid w:val="00087DB5"/>
    <w:rsid w:val="00090A5D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185F"/>
    <w:rsid w:val="000E2269"/>
    <w:rsid w:val="000E3E54"/>
    <w:rsid w:val="000F103A"/>
    <w:rsid w:val="000F3A3F"/>
    <w:rsid w:val="000F415C"/>
    <w:rsid w:val="000F5E98"/>
    <w:rsid w:val="000F69B1"/>
    <w:rsid w:val="0010087E"/>
    <w:rsid w:val="00102422"/>
    <w:rsid w:val="00106106"/>
    <w:rsid w:val="00113584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576A"/>
    <w:rsid w:val="00137A12"/>
    <w:rsid w:val="00140EF0"/>
    <w:rsid w:val="00141F92"/>
    <w:rsid w:val="00143FE0"/>
    <w:rsid w:val="0015005C"/>
    <w:rsid w:val="00150645"/>
    <w:rsid w:val="0015064F"/>
    <w:rsid w:val="001544DD"/>
    <w:rsid w:val="0015549B"/>
    <w:rsid w:val="001569FE"/>
    <w:rsid w:val="00156E3A"/>
    <w:rsid w:val="00157977"/>
    <w:rsid w:val="00160174"/>
    <w:rsid w:val="00166393"/>
    <w:rsid w:val="001705E6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203"/>
    <w:rsid w:val="001D3F05"/>
    <w:rsid w:val="001D4C99"/>
    <w:rsid w:val="001D74EA"/>
    <w:rsid w:val="001D7846"/>
    <w:rsid w:val="001E3C63"/>
    <w:rsid w:val="001E4D23"/>
    <w:rsid w:val="001E5E9E"/>
    <w:rsid w:val="001F0069"/>
    <w:rsid w:val="001F1062"/>
    <w:rsid w:val="002027F8"/>
    <w:rsid w:val="00206D7F"/>
    <w:rsid w:val="00211107"/>
    <w:rsid w:val="00212CDC"/>
    <w:rsid w:val="002141BB"/>
    <w:rsid w:val="00220B04"/>
    <w:rsid w:val="002225EE"/>
    <w:rsid w:val="00224E22"/>
    <w:rsid w:val="00227144"/>
    <w:rsid w:val="002341EC"/>
    <w:rsid w:val="00235EE4"/>
    <w:rsid w:val="00237019"/>
    <w:rsid w:val="002409CB"/>
    <w:rsid w:val="00240C43"/>
    <w:rsid w:val="002418AB"/>
    <w:rsid w:val="00250B28"/>
    <w:rsid w:val="00251B32"/>
    <w:rsid w:val="00251E0C"/>
    <w:rsid w:val="00252E22"/>
    <w:rsid w:val="0025384E"/>
    <w:rsid w:val="00254906"/>
    <w:rsid w:val="00257700"/>
    <w:rsid w:val="00261B98"/>
    <w:rsid w:val="00265949"/>
    <w:rsid w:val="002746D3"/>
    <w:rsid w:val="0027532C"/>
    <w:rsid w:val="00280D7C"/>
    <w:rsid w:val="002814ED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CB2"/>
    <w:rsid w:val="002C7588"/>
    <w:rsid w:val="002C77AC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BF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47CF5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4016"/>
    <w:rsid w:val="00385D41"/>
    <w:rsid w:val="00390F07"/>
    <w:rsid w:val="003934A4"/>
    <w:rsid w:val="003942AB"/>
    <w:rsid w:val="00394F50"/>
    <w:rsid w:val="00395403"/>
    <w:rsid w:val="00396496"/>
    <w:rsid w:val="00397B85"/>
    <w:rsid w:val="003A06F7"/>
    <w:rsid w:val="003A2C03"/>
    <w:rsid w:val="003A56AD"/>
    <w:rsid w:val="003A580F"/>
    <w:rsid w:val="003A622F"/>
    <w:rsid w:val="003B25C9"/>
    <w:rsid w:val="003B301A"/>
    <w:rsid w:val="003B3D80"/>
    <w:rsid w:val="003B5F3E"/>
    <w:rsid w:val="003B6FA0"/>
    <w:rsid w:val="003C15AA"/>
    <w:rsid w:val="003C58AC"/>
    <w:rsid w:val="003C68ED"/>
    <w:rsid w:val="003D6557"/>
    <w:rsid w:val="003D7172"/>
    <w:rsid w:val="003E01B5"/>
    <w:rsid w:val="003E061C"/>
    <w:rsid w:val="003E2D4D"/>
    <w:rsid w:val="003E3CB6"/>
    <w:rsid w:val="003E3EEC"/>
    <w:rsid w:val="003F4803"/>
    <w:rsid w:val="003F5797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68F0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67C3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229E"/>
    <w:rsid w:val="004D27C3"/>
    <w:rsid w:val="004D2E33"/>
    <w:rsid w:val="004D4FD7"/>
    <w:rsid w:val="004D7B71"/>
    <w:rsid w:val="004E2438"/>
    <w:rsid w:val="004E41B5"/>
    <w:rsid w:val="004E450E"/>
    <w:rsid w:val="004E5447"/>
    <w:rsid w:val="004E71A6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06835"/>
    <w:rsid w:val="00510E06"/>
    <w:rsid w:val="00514F03"/>
    <w:rsid w:val="00520764"/>
    <w:rsid w:val="00520C54"/>
    <w:rsid w:val="00520E65"/>
    <w:rsid w:val="00525290"/>
    <w:rsid w:val="005256CA"/>
    <w:rsid w:val="00533A5E"/>
    <w:rsid w:val="005362AF"/>
    <w:rsid w:val="00536C61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7A8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26D0"/>
    <w:rsid w:val="005B3735"/>
    <w:rsid w:val="005B3F01"/>
    <w:rsid w:val="005B46B5"/>
    <w:rsid w:val="005C1F2A"/>
    <w:rsid w:val="005C2D4B"/>
    <w:rsid w:val="005C34A3"/>
    <w:rsid w:val="005C79B5"/>
    <w:rsid w:val="005D386D"/>
    <w:rsid w:val="005D57C8"/>
    <w:rsid w:val="005D7D62"/>
    <w:rsid w:val="005E4AD0"/>
    <w:rsid w:val="005F1C5D"/>
    <w:rsid w:val="005F589D"/>
    <w:rsid w:val="005F72E1"/>
    <w:rsid w:val="00600E63"/>
    <w:rsid w:val="00601FC2"/>
    <w:rsid w:val="00604E91"/>
    <w:rsid w:val="0060745F"/>
    <w:rsid w:val="006174F7"/>
    <w:rsid w:val="006231D7"/>
    <w:rsid w:val="0062550A"/>
    <w:rsid w:val="006271CD"/>
    <w:rsid w:val="00627EC7"/>
    <w:rsid w:val="00634BD7"/>
    <w:rsid w:val="006420F4"/>
    <w:rsid w:val="00644B26"/>
    <w:rsid w:val="00644F85"/>
    <w:rsid w:val="0064582B"/>
    <w:rsid w:val="006474F4"/>
    <w:rsid w:val="006479A4"/>
    <w:rsid w:val="006514CD"/>
    <w:rsid w:val="0065709A"/>
    <w:rsid w:val="006618F4"/>
    <w:rsid w:val="00665FE3"/>
    <w:rsid w:val="00671E62"/>
    <w:rsid w:val="00672669"/>
    <w:rsid w:val="00672E21"/>
    <w:rsid w:val="00674D00"/>
    <w:rsid w:val="006755DC"/>
    <w:rsid w:val="0068071E"/>
    <w:rsid w:val="00680BC8"/>
    <w:rsid w:val="00682899"/>
    <w:rsid w:val="0068305E"/>
    <w:rsid w:val="006861C1"/>
    <w:rsid w:val="00687053"/>
    <w:rsid w:val="00687EA4"/>
    <w:rsid w:val="006900D5"/>
    <w:rsid w:val="0069094E"/>
    <w:rsid w:val="00693F4C"/>
    <w:rsid w:val="00697439"/>
    <w:rsid w:val="00697451"/>
    <w:rsid w:val="00697453"/>
    <w:rsid w:val="006979BC"/>
    <w:rsid w:val="006A6FAC"/>
    <w:rsid w:val="006B1859"/>
    <w:rsid w:val="006B25CA"/>
    <w:rsid w:val="006B2E42"/>
    <w:rsid w:val="006B3977"/>
    <w:rsid w:val="006B639B"/>
    <w:rsid w:val="006B71F9"/>
    <w:rsid w:val="006C2DA4"/>
    <w:rsid w:val="006C602B"/>
    <w:rsid w:val="006D406F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343C"/>
    <w:rsid w:val="00717558"/>
    <w:rsid w:val="0072010A"/>
    <w:rsid w:val="00721C63"/>
    <w:rsid w:val="0072511B"/>
    <w:rsid w:val="007268BA"/>
    <w:rsid w:val="00727CB3"/>
    <w:rsid w:val="00730072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0DBE"/>
    <w:rsid w:val="007511EB"/>
    <w:rsid w:val="00754D64"/>
    <w:rsid w:val="00762A09"/>
    <w:rsid w:val="00763047"/>
    <w:rsid w:val="00770992"/>
    <w:rsid w:val="007712C6"/>
    <w:rsid w:val="007716D8"/>
    <w:rsid w:val="00776123"/>
    <w:rsid w:val="00776F21"/>
    <w:rsid w:val="00781AF3"/>
    <w:rsid w:val="007867C8"/>
    <w:rsid w:val="00790489"/>
    <w:rsid w:val="0079107A"/>
    <w:rsid w:val="007915D8"/>
    <w:rsid w:val="007946C9"/>
    <w:rsid w:val="00794828"/>
    <w:rsid w:val="00794836"/>
    <w:rsid w:val="007953E8"/>
    <w:rsid w:val="00795459"/>
    <w:rsid w:val="007A0CA4"/>
    <w:rsid w:val="007A2EE5"/>
    <w:rsid w:val="007A5D1C"/>
    <w:rsid w:val="007A66AB"/>
    <w:rsid w:val="007A7633"/>
    <w:rsid w:val="007B1B05"/>
    <w:rsid w:val="007B46B4"/>
    <w:rsid w:val="007B6194"/>
    <w:rsid w:val="007C01AA"/>
    <w:rsid w:val="007C3686"/>
    <w:rsid w:val="007C45F3"/>
    <w:rsid w:val="007C5D6D"/>
    <w:rsid w:val="007C6928"/>
    <w:rsid w:val="007D0C4A"/>
    <w:rsid w:val="007D111E"/>
    <w:rsid w:val="007D5166"/>
    <w:rsid w:val="007D5B2A"/>
    <w:rsid w:val="007D5D06"/>
    <w:rsid w:val="007D7E7E"/>
    <w:rsid w:val="007E1003"/>
    <w:rsid w:val="007E17F1"/>
    <w:rsid w:val="007F36EF"/>
    <w:rsid w:val="007F37A6"/>
    <w:rsid w:val="007F6C1A"/>
    <w:rsid w:val="007F7AF0"/>
    <w:rsid w:val="00802828"/>
    <w:rsid w:val="00802B3A"/>
    <w:rsid w:val="00805348"/>
    <w:rsid w:val="00805D76"/>
    <w:rsid w:val="0080760E"/>
    <w:rsid w:val="00812B6F"/>
    <w:rsid w:val="00817973"/>
    <w:rsid w:val="0082088B"/>
    <w:rsid w:val="00822DE6"/>
    <w:rsid w:val="00823B13"/>
    <w:rsid w:val="00826591"/>
    <w:rsid w:val="00826A47"/>
    <w:rsid w:val="00827529"/>
    <w:rsid w:val="00827DF8"/>
    <w:rsid w:val="00832E38"/>
    <w:rsid w:val="00835938"/>
    <w:rsid w:val="00840E1D"/>
    <w:rsid w:val="0084158F"/>
    <w:rsid w:val="00845119"/>
    <w:rsid w:val="00850153"/>
    <w:rsid w:val="008530B4"/>
    <w:rsid w:val="0085313F"/>
    <w:rsid w:val="00853EE1"/>
    <w:rsid w:val="00857854"/>
    <w:rsid w:val="00860724"/>
    <w:rsid w:val="00861473"/>
    <w:rsid w:val="00864D2A"/>
    <w:rsid w:val="00866148"/>
    <w:rsid w:val="00870386"/>
    <w:rsid w:val="008728D2"/>
    <w:rsid w:val="008762EC"/>
    <w:rsid w:val="00876497"/>
    <w:rsid w:val="00883B80"/>
    <w:rsid w:val="0088469F"/>
    <w:rsid w:val="008879E1"/>
    <w:rsid w:val="0089166E"/>
    <w:rsid w:val="00892E6D"/>
    <w:rsid w:val="00895F00"/>
    <w:rsid w:val="00896FFC"/>
    <w:rsid w:val="00897C9C"/>
    <w:rsid w:val="008A12DB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1AF"/>
    <w:rsid w:val="008D2B93"/>
    <w:rsid w:val="008D2CC0"/>
    <w:rsid w:val="008D4288"/>
    <w:rsid w:val="008D486E"/>
    <w:rsid w:val="008D49F3"/>
    <w:rsid w:val="008D4DF3"/>
    <w:rsid w:val="008E0496"/>
    <w:rsid w:val="008E052B"/>
    <w:rsid w:val="008E36AC"/>
    <w:rsid w:val="008E50C8"/>
    <w:rsid w:val="008F000A"/>
    <w:rsid w:val="008F06C3"/>
    <w:rsid w:val="008F452E"/>
    <w:rsid w:val="008F5E20"/>
    <w:rsid w:val="008F7BA0"/>
    <w:rsid w:val="0090336E"/>
    <w:rsid w:val="009044E4"/>
    <w:rsid w:val="009058C5"/>
    <w:rsid w:val="0091019C"/>
    <w:rsid w:val="00912B36"/>
    <w:rsid w:val="009139B3"/>
    <w:rsid w:val="00914936"/>
    <w:rsid w:val="00916C4F"/>
    <w:rsid w:val="009175C8"/>
    <w:rsid w:val="00922D09"/>
    <w:rsid w:val="00923D3F"/>
    <w:rsid w:val="009341DD"/>
    <w:rsid w:val="00934BA8"/>
    <w:rsid w:val="0093710A"/>
    <w:rsid w:val="009401E5"/>
    <w:rsid w:val="009405CF"/>
    <w:rsid w:val="00941366"/>
    <w:rsid w:val="00941869"/>
    <w:rsid w:val="009426D3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767"/>
    <w:rsid w:val="00991C03"/>
    <w:rsid w:val="00991F15"/>
    <w:rsid w:val="0099633E"/>
    <w:rsid w:val="0099680E"/>
    <w:rsid w:val="009A6BBA"/>
    <w:rsid w:val="009B2027"/>
    <w:rsid w:val="009B4C5D"/>
    <w:rsid w:val="009B5CA8"/>
    <w:rsid w:val="009B5E65"/>
    <w:rsid w:val="009B77CC"/>
    <w:rsid w:val="009C684F"/>
    <w:rsid w:val="009D054B"/>
    <w:rsid w:val="009D22F5"/>
    <w:rsid w:val="009D43F0"/>
    <w:rsid w:val="009D5F7B"/>
    <w:rsid w:val="009D5FA0"/>
    <w:rsid w:val="009D6511"/>
    <w:rsid w:val="009E1914"/>
    <w:rsid w:val="009E1F8C"/>
    <w:rsid w:val="009E3EF8"/>
    <w:rsid w:val="009F2FBA"/>
    <w:rsid w:val="009F5327"/>
    <w:rsid w:val="00A03FFB"/>
    <w:rsid w:val="00A04691"/>
    <w:rsid w:val="00A070B9"/>
    <w:rsid w:val="00A07711"/>
    <w:rsid w:val="00A15A6E"/>
    <w:rsid w:val="00A15E63"/>
    <w:rsid w:val="00A16078"/>
    <w:rsid w:val="00A225A3"/>
    <w:rsid w:val="00A25698"/>
    <w:rsid w:val="00A2592A"/>
    <w:rsid w:val="00A31233"/>
    <w:rsid w:val="00A3159F"/>
    <w:rsid w:val="00A319B1"/>
    <w:rsid w:val="00A3616B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69"/>
    <w:rsid w:val="00A86355"/>
    <w:rsid w:val="00A9033E"/>
    <w:rsid w:val="00A92B92"/>
    <w:rsid w:val="00A937C0"/>
    <w:rsid w:val="00A9398F"/>
    <w:rsid w:val="00A97268"/>
    <w:rsid w:val="00AA1E3F"/>
    <w:rsid w:val="00AA2EDE"/>
    <w:rsid w:val="00AA4693"/>
    <w:rsid w:val="00AA5688"/>
    <w:rsid w:val="00AA5967"/>
    <w:rsid w:val="00AA7584"/>
    <w:rsid w:val="00AB0D8C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3535"/>
    <w:rsid w:val="00AE37E4"/>
    <w:rsid w:val="00AE5980"/>
    <w:rsid w:val="00AE5C3D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35E38"/>
    <w:rsid w:val="00B3684D"/>
    <w:rsid w:val="00B4020B"/>
    <w:rsid w:val="00B42C6E"/>
    <w:rsid w:val="00B43BDD"/>
    <w:rsid w:val="00B509C9"/>
    <w:rsid w:val="00B53F5C"/>
    <w:rsid w:val="00B55762"/>
    <w:rsid w:val="00B55EE8"/>
    <w:rsid w:val="00B65BCA"/>
    <w:rsid w:val="00B71862"/>
    <w:rsid w:val="00B739C6"/>
    <w:rsid w:val="00B75C22"/>
    <w:rsid w:val="00B76369"/>
    <w:rsid w:val="00B77CD7"/>
    <w:rsid w:val="00B812F4"/>
    <w:rsid w:val="00B849C6"/>
    <w:rsid w:val="00B85483"/>
    <w:rsid w:val="00B8620B"/>
    <w:rsid w:val="00B91B21"/>
    <w:rsid w:val="00B93BCC"/>
    <w:rsid w:val="00B942E9"/>
    <w:rsid w:val="00BA05C3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7A6"/>
    <w:rsid w:val="00BC59AA"/>
    <w:rsid w:val="00BC6A25"/>
    <w:rsid w:val="00BD0DC5"/>
    <w:rsid w:val="00BD1087"/>
    <w:rsid w:val="00BD4464"/>
    <w:rsid w:val="00BD4735"/>
    <w:rsid w:val="00BD578F"/>
    <w:rsid w:val="00BE4769"/>
    <w:rsid w:val="00BE49DC"/>
    <w:rsid w:val="00BE58F4"/>
    <w:rsid w:val="00BE5D8E"/>
    <w:rsid w:val="00BE5F5D"/>
    <w:rsid w:val="00BE7620"/>
    <w:rsid w:val="00BE7A21"/>
    <w:rsid w:val="00BF1456"/>
    <w:rsid w:val="00C04C3F"/>
    <w:rsid w:val="00C07D2B"/>
    <w:rsid w:val="00C10945"/>
    <w:rsid w:val="00C10A4E"/>
    <w:rsid w:val="00C122D3"/>
    <w:rsid w:val="00C12982"/>
    <w:rsid w:val="00C1366A"/>
    <w:rsid w:val="00C13CBB"/>
    <w:rsid w:val="00C1551A"/>
    <w:rsid w:val="00C200FB"/>
    <w:rsid w:val="00C22E46"/>
    <w:rsid w:val="00C244FB"/>
    <w:rsid w:val="00C269CF"/>
    <w:rsid w:val="00C30D71"/>
    <w:rsid w:val="00C31B9C"/>
    <w:rsid w:val="00C31CEB"/>
    <w:rsid w:val="00C3247D"/>
    <w:rsid w:val="00C332AE"/>
    <w:rsid w:val="00C3556C"/>
    <w:rsid w:val="00C4185D"/>
    <w:rsid w:val="00C41A24"/>
    <w:rsid w:val="00C50C7A"/>
    <w:rsid w:val="00C519A7"/>
    <w:rsid w:val="00C52ED1"/>
    <w:rsid w:val="00C542D4"/>
    <w:rsid w:val="00C54B6A"/>
    <w:rsid w:val="00C567A4"/>
    <w:rsid w:val="00C5745C"/>
    <w:rsid w:val="00C61610"/>
    <w:rsid w:val="00C63B6D"/>
    <w:rsid w:val="00C6470C"/>
    <w:rsid w:val="00C64A29"/>
    <w:rsid w:val="00C705D3"/>
    <w:rsid w:val="00C717E7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765"/>
    <w:rsid w:val="00CA7A85"/>
    <w:rsid w:val="00CB4B26"/>
    <w:rsid w:val="00CC14E1"/>
    <w:rsid w:val="00CC1E5F"/>
    <w:rsid w:val="00CC4736"/>
    <w:rsid w:val="00CC479A"/>
    <w:rsid w:val="00CC6B11"/>
    <w:rsid w:val="00CC7988"/>
    <w:rsid w:val="00CD07A8"/>
    <w:rsid w:val="00CD17F6"/>
    <w:rsid w:val="00CD234B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1C22"/>
    <w:rsid w:val="00D02927"/>
    <w:rsid w:val="00D04D31"/>
    <w:rsid w:val="00D05281"/>
    <w:rsid w:val="00D05F55"/>
    <w:rsid w:val="00D07E90"/>
    <w:rsid w:val="00D1578B"/>
    <w:rsid w:val="00D163CA"/>
    <w:rsid w:val="00D17118"/>
    <w:rsid w:val="00D17BEE"/>
    <w:rsid w:val="00D17C9C"/>
    <w:rsid w:val="00D20B9C"/>
    <w:rsid w:val="00D21F32"/>
    <w:rsid w:val="00D22EDF"/>
    <w:rsid w:val="00D26573"/>
    <w:rsid w:val="00D26937"/>
    <w:rsid w:val="00D3177A"/>
    <w:rsid w:val="00D32299"/>
    <w:rsid w:val="00D36900"/>
    <w:rsid w:val="00D41F1D"/>
    <w:rsid w:val="00D43BC3"/>
    <w:rsid w:val="00D44A4E"/>
    <w:rsid w:val="00D453C5"/>
    <w:rsid w:val="00D461FC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3504"/>
    <w:rsid w:val="00D85C66"/>
    <w:rsid w:val="00D866B1"/>
    <w:rsid w:val="00DA1BF1"/>
    <w:rsid w:val="00DA2978"/>
    <w:rsid w:val="00DA3F8D"/>
    <w:rsid w:val="00DA536F"/>
    <w:rsid w:val="00DA5AB0"/>
    <w:rsid w:val="00DA768B"/>
    <w:rsid w:val="00DA7D65"/>
    <w:rsid w:val="00DB2AEB"/>
    <w:rsid w:val="00DB3539"/>
    <w:rsid w:val="00DB60BA"/>
    <w:rsid w:val="00DB6F5C"/>
    <w:rsid w:val="00DC19A2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49A1"/>
    <w:rsid w:val="00E34C07"/>
    <w:rsid w:val="00E3738C"/>
    <w:rsid w:val="00E3795C"/>
    <w:rsid w:val="00E400D7"/>
    <w:rsid w:val="00E40D48"/>
    <w:rsid w:val="00E418CB"/>
    <w:rsid w:val="00E43855"/>
    <w:rsid w:val="00E45EF6"/>
    <w:rsid w:val="00E47DD6"/>
    <w:rsid w:val="00E5114C"/>
    <w:rsid w:val="00E52E89"/>
    <w:rsid w:val="00E545F6"/>
    <w:rsid w:val="00E54F37"/>
    <w:rsid w:val="00E56247"/>
    <w:rsid w:val="00E61037"/>
    <w:rsid w:val="00E617A6"/>
    <w:rsid w:val="00E639BB"/>
    <w:rsid w:val="00E64631"/>
    <w:rsid w:val="00E64E1D"/>
    <w:rsid w:val="00E70599"/>
    <w:rsid w:val="00E73735"/>
    <w:rsid w:val="00E7504F"/>
    <w:rsid w:val="00E7577B"/>
    <w:rsid w:val="00E76C40"/>
    <w:rsid w:val="00E844F1"/>
    <w:rsid w:val="00E86A92"/>
    <w:rsid w:val="00E86F77"/>
    <w:rsid w:val="00E876C8"/>
    <w:rsid w:val="00E922FB"/>
    <w:rsid w:val="00E93566"/>
    <w:rsid w:val="00E961B7"/>
    <w:rsid w:val="00EA04F9"/>
    <w:rsid w:val="00EA674F"/>
    <w:rsid w:val="00EB06DA"/>
    <w:rsid w:val="00EB1FE2"/>
    <w:rsid w:val="00EB2062"/>
    <w:rsid w:val="00EB6035"/>
    <w:rsid w:val="00EB7597"/>
    <w:rsid w:val="00EC0DC1"/>
    <w:rsid w:val="00EC3955"/>
    <w:rsid w:val="00EC5BB9"/>
    <w:rsid w:val="00EC762E"/>
    <w:rsid w:val="00ED05DC"/>
    <w:rsid w:val="00ED070E"/>
    <w:rsid w:val="00ED3D93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5371"/>
    <w:rsid w:val="00F17926"/>
    <w:rsid w:val="00F22DA9"/>
    <w:rsid w:val="00F22E6C"/>
    <w:rsid w:val="00F24140"/>
    <w:rsid w:val="00F24FFB"/>
    <w:rsid w:val="00F2761D"/>
    <w:rsid w:val="00F340FE"/>
    <w:rsid w:val="00F52878"/>
    <w:rsid w:val="00F54066"/>
    <w:rsid w:val="00F60D9F"/>
    <w:rsid w:val="00F6399B"/>
    <w:rsid w:val="00F6514D"/>
    <w:rsid w:val="00F71AF7"/>
    <w:rsid w:val="00F75615"/>
    <w:rsid w:val="00F76AB4"/>
    <w:rsid w:val="00F84494"/>
    <w:rsid w:val="00F9188F"/>
    <w:rsid w:val="00F9332B"/>
    <w:rsid w:val="00F95931"/>
    <w:rsid w:val="00FA11DE"/>
    <w:rsid w:val="00FA4169"/>
    <w:rsid w:val="00FA5C37"/>
    <w:rsid w:val="00FA7A06"/>
    <w:rsid w:val="00FB2E63"/>
    <w:rsid w:val="00FB4CAD"/>
    <w:rsid w:val="00FB5CCA"/>
    <w:rsid w:val="00FC1077"/>
    <w:rsid w:val="00FC10D8"/>
    <w:rsid w:val="00FC15D6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C8E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70C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70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B70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70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5B70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B70C9"/>
    <w:rPr>
      <w:rFonts w:ascii="Arial" w:eastAsia="Times New Roman" w:hAnsi="Arial" w:cs="Arial"/>
      <w:b/>
      <w:bCs/>
      <w:sz w:val="26"/>
      <w:szCs w:val="26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  <w:jc w:val="both"/>
    </w:pPr>
    <w:rPr>
      <w:rFonts w:ascii="Times" w:eastAsia="Times New Roman" w:hAnsi="Times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ascii="Times" w:eastAsia="Times New Roman" w:hAnsi="Times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ascii="Times" w:eastAsia="Times New Roman" w:hAnsi="Times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ascii="Times" w:eastAsia="Times New Roman" w:hAnsi="Times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hervorheb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ＭＳ ゴシック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ＭＳ ゴシック" w:hAnsi="Calibri" w:cs="Times New Roman"/>
      <w:sz w:val="24"/>
      <w:szCs w:val="24"/>
      <w:lang w:eastAsia="en-US"/>
    </w:rPr>
  </w:style>
  <w:style w:type="character" w:styleId="Schwachhervorheb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6C2DA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4D7B71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7B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va-institute.e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io-based.eu/markets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www.bio-based.eu/markets" TargetMode="External"/><Relationship Id="rId14" Type="http://schemas.openxmlformats.org/officeDocument/2006/relationships/hyperlink" Target="mailto:florence.aeschelmann@nova-institut.de" TargetMode="External"/><Relationship Id="rId15" Type="http://schemas.openxmlformats.org/officeDocument/2006/relationships/hyperlink" Target="http://www.nova-institute.eu" TargetMode="External"/><Relationship Id="rId16" Type="http://schemas.openxmlformats.org/officeDocument/2006/relationships/hyperlink" Target="http://www.bio-based.eu/en/index.html" TargetMode="External"/><Relationship Id="rId17" Type="http://schemas.openxmlformats.org/officeDocument/2006/relationships/hyperlink" Target="mailto:contact@nova-institut.de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european-bioplastics.org/press/press-pictures/labelling-logos-chart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F323B-BACC-424C-B2FD-FF686A9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7426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8587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Hermann Schiefer</cp:lastModifiedBy>
  <cp:revision>2</cp:revision>
  <cp:lastPrinted>2015-11-10T09:45:00Z</cp:lastPrinted>
  <dcterms:created xsi:type="dcterms:W3CDTF">2015-11-10T13:15:00Z</dcterms:created>
  <dcterms:modified xsi:type="dcterms:W3CDTF">2015-11-10T13:15:00Z</dcterms:modified>
</cp:coreProperties>
</file>